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4BFB9" w14:textId="3B197664"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00040B12">
        <w:t>bis</w:t>
      </w:r>
      <w:r w:rsidRPr="00CE0424">
        <w:tab/>
      </w:r>
      <w:proofErr w:type="spellStart"/>
      <w:r w:rsidRPr="00CE0424">
        <w:rPr>
          <w:sz w:val="32"/>
          <w:szCs w:val="32"/>
        </w:rPr>
        <w:t>Tdoc</w:t>
      </w:r>
      <w:proofErr w:type="spellEnd"/>
      <w:r w:rsidRPr="00CE0424">
        <w:rPr>
          <w:sz w:val="32"/>
          <w:szCs w:val="32"/>
        </w:rPr>
        <w:t xml:space="preserve"> </w:t>
      </w:r>
      <w:r w:rsidR="00A83DB1" w:rsidRPr="00A83DB1">
        <w:rPr>
          <w:sz w:val="32"/>
          <w:szCs w:val="32"/>
        </w:rPr>
        <w:t>R2-1711531</w:t>
      </w:r>
    </w:p>
    <w:p w14:paraId="1C6C16F1"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bookmarkStart w:id="0" w:name="_GoBack"/>
      <w:bookmarkEnd w:id="0"/>
    </w:p>
    <w:p w14:paraId="79B8E341" w14:textId="77777777" w:rsidR="00E90E49" w:rsidRPr="00CE0424" w:rsidRDefault="00E90E49" w:rsidP="00357380">
      <w:pPr>
        <w:pStyle w:val="3GPPHeader"/>
      </w:pPr>
    </w:p>
    <w:p w14:paraId="44F32E4C" w14:textId="73F0076B"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A83DB1" w:rsidRPr="00A83DB1">
        <w:rPr>
          <w:sz w:val="22"/>
          <w:szCs w:val="22"/>
          <w:lang w:val="sv-SE"/>
        </w:rPr>
        <w:t>10.2.2.3</w:t>
      </w:r>
    </w:p>
    <w:p w14:paraId="4043F2D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C8557D" w14:textId="77777777" w:rsidR="00E90E49" w:rsidRPr="00A83DB1" w:rsidRDefault="003D3C45" w:rsidP="00311702">
      <w:pPr>
        <w:pStyle w:val="3GPPHeader"/>
        <w:rPr>
          <w:sz w:val="22"/>
          <w:szCs w:val="22"/>
        </w:rPr>
      </w:pPr>
      <w:r w:rsidRPr="00A83DB1">
        <w:rPr>
          <w:sz w:val="22"/>
          <w:szCs w:val="22"/>
        </w:rPr>
        <w:t>Title:</w:t>
      </w:r>
      <w:r w:rsidR="00E90E49" w:rsidRPr="00A83DB1">
        <w:rPr>
          <w:sz w:val="22"/>
          <w:szCs w:val="22"/>
        </w:rPr>
        <w:tab/>
      </w:r>
      <w:bookmarkStart w:id="1" w:name="OLE_LINK1"/>
      <w:r w:rsidR="002A0187" w:rsidRPr="00A83DB1">
        <w:rPr>
          <w:sz w:val="22"/>
          <w:szCs w:val="22"/>
        </w:rPr>
        <w:t>Single TX UE operation</w:t>
      </w:r>
      <w:bookmarkEnd w:id="1"/>
    </w:p>
    <w:p w14:paraId="65844A0A" w14:textId="77777777" w:rsidR="00E90E49" w:rsidRDefault="00E90E49" w:rsidP="00D546FF">
      <w:pPr>
        <w:pStyle w:val="3GPPHeader"/>
        <w:rPr>
          <w:sz w:val="22"/>
          <w:szCs w:val="22"/>
        </w:rPr>
      </w:pPr>
      <w:r w:rsidRPr="00A83DB1">
        <w:rPr>
          <w:sz w:val="22"/>
          <w:szCs w:val="22"/>
        </w:rPr>
        <w:t>Document for:</w:t>
      </w:r>
      <w:r w:rsidRPr="00A83DB1">
        <w:rPr>
          <w:sz w:val="22"/>
          <w:szCs w:val="22"/>
        </w:rPr>
        <w:tab/>
        <w:t>Discussion, Decision</w:t>
      </w:r>
    </w:p>
    <w:p w14:paraId="7B43B95D" w14:textId="77777777" w:rsidR="00C24345" w:rsidRDefault="00E90E49" w:rsidP="00A2052C">
      <w:pPr>
        <w:pStyle w:val="Heading1"/>
      </w:pPr>
      <w:r w:rsidRPr="00CE0424">
        <w:t>Introduction</w:t>
      </w:r>
    </w:p>
    <w:p w14:paraId="4045861B" w14:textId="11F5F1AD" w:rsidR="002A0187" w:rsidRDefault="002A0187" w:rsidP="00A2052C">
      <w:r>
        <w:t>RAN2 has discussed some meetings about single TX operation in EN-DC. This topic was further discussed in RAN plenary</w:t>
      </w:r>
      <w:r w:rsidR="00A83DB1">
        <w:t xml:space="preserve"> #77</w:t>
      </w:r>
      <w:r>
        <w:t xml:space="preserve"> and LS </w:t>
      </w:r>
      <w:r w:rsidR="00A83DB1">
        <w:t xml:space="preserve">was </w:t>
      </w:r>
      <w:r>
        <w:t xml:space="preserve">sent to RAN2 in </w:t>
      </w:r>
      <w:r w:rsidRPr="002A0187">
        <w:t>RP-172100</w:t>
      </w:r>
      <w:r>
        <w:t>.</w:t>
      </w:r>
      <w:r w:rsidR="00A83DB1">
        <w:t xml:space="preserve"> In</w:t>
      </w:r>
      <w:r w:rsidR="003338FE">
        <w:t xml:space="preserve"> this contribution, we disc</w:t>
      </w:r>
      <w:r w:rsidR="00A83DB1">
        <w:t>uss actions needed in RAN2 for s</w:t>
      </w:r>
      <w:r w:rsidR="003338FE">
        <w:t>ingle TX operation.</w:t>
      </w:r>
    </w:p>
    <w:p w14:paraId="46369140" w14:textId="77777777" w:rsidR="002A0187" w:rsidRDefault="002A0187" w:rsidP="002A0187">
      <w:pPr>
        <w:pStyle w:val="Heading1"/>
      </w:pPr>
      <w:r>
        <w:t>Background</w:t>
      </w:r>
    </w:p>
    <w:p w14:paraId="4430C811" w14:textId="341B883C" w:rsidR="00960CCB" w:rsidRDefault="002A0187" w:rsidP="002A0187">
      <w:r>
        <w:t>In RAN</w:t>
      </w:r>
      <w:r w:rsidR="00A83DB1">
        <w:t>#77</w:t>
      </w:r>
      <w:r>
        <w:t xml:space="preserve"> it was discussed if the UE could support EN-DC with single TX only. T</w:t>
      </w:r>
      <w:r w:rsidR="003338FE">
        <w:t>he conclusion was that in some easy</w:t>
      </w:r>
      <w:r>
        <w:t xml:space="preserve"> band/channel combinations, the UE should be able</w:t>
      </w:r>
      <w:r w:rsidR="00A83DB1">
        <w:t xml:space="preserve"> support 2TX</w:t>
      </w:r>
      <w:r>
        <w:t>, i</w:t>
      </w:r>
      <w:r w:rsidR="003338FE">
        <w:t>.</w:t>
      </w:r>
      <w:r>
        <w:t xml:space="preserve">e., dual TX operation is mandatory. However, </w:t>
      </w:r>
      <w:r w:rsidR="003338FE">
        <w:t>in</w:t>
      </w:r>
      <w:r>
        <w:t xml:space="preserve"> some other band combinations there </w:t>
      </w:r>
      <w:r w:rsidR="00A83DB1">
        <w:t xml:space="preserve">are </w:t>
      </w:r>
      <w:r>
        <w:t xml:space="preserve">issues due to intermodulation product and harmonics. </w:t>
      </w:r>
      <w:r w:rsidR="00960CCB">
        <w:t xml:space="preserve">Thus Maximum Sensitivity Degradation (MSD) may increase. Some of the UE implementations may do not cope with this and </w:t>
      </w:r>
      <w:r w:rsidR="00A83DB1">
        <w:t>can operate only one UL at the time</w:t>
      </w:r>
      <w:r w:rsidR="00960CCB">
        <w:t>.</w:t>
      </w:r>
      <w:r w:rsidR="00A83DB1">
        <w:t xml:space="preserve"> </w:t>
      </w:r>
    </w:p>
    <w:p w14:paraId="5FBCCBB5" w14:textId="4813B79D" w:rsidR="002A0187" w:rsidRDefault="00960CCB" w:rsidP="002A0187">
      <w:r>
        <w:t>It was con</w:t>
      </w:r>
      <w:r w:rsidR="003338FE">
        <w:t>c</w:t>
      </w:r>
      <w:r>
        <w:t xml:space="preserve">luded </w:t>
      </w:r>
      <w:r w:rsidR="003338FE">
        <w:t xml:space="preserve">in RP-172100 </w:t>
      </w:r>
      <w:r>
        <w:t xml:space="preserve">that </w:t>
      </w:r>
      <w:r w:rsidRPr="00960CCB">
        <w:t xml:space="preserve">RAN4 </w:t>
      </w:r>
      <w:r>
        <w:t>will</w:t>
      </w:r>
      <w:r w:rsidRPr="00960CCB">
        <w:t xml:space="preserve"> define a rule for categorization (of band combinations including channel assi</w:t>
      </w:r>
      <w:r>
        <w:t xml:space="preserve">gnments) in order to </w:t>
      </w:r>
      <w:r w:rsidR="003338FE">
        <w:t>conclude if dual TX is required</w:t>
      </w:r>
      <w:r>
        <w:t>. It was captured that a</w:t>
      </w:r>
      <w:r w:rsidRPr="00960CCB">
        <w:t xml:space="preserve"> possible rule could be based on presence of resulting IMD</w:t>
      </w:r>
      <w:r w:rsidR="003338FE">
        <w:t xml:space="preserve"> </w:t>
      </w:r>
      <w:r w:rsidRPr="00960CCB">
        <w:t>[</w:t>
      </w:r>
      <w:proofErr w:type="gramStart"/>
      <w:r w:rsidRPr="00960CCB">
        <w:t>2]…</w:t>
      </w:r>
      <w:proofErr w:type="gramEnd"/>
      <w:r w:rsidRPr="00960CCB">
        <w:t xml:space="preserve">[7] (including harmonics as long as the cause includes simultaneous </w:t>
      </w:r>
      <w:proofErr w:type="spellStart"/>
      <w:r w:rsidRPr="00960CCB">
        <w:t>Tx</w:t>
      </w:r>
      <w:proofErr w:type="spellEnd"/>
      <w:r w:rsidRPr="00960CCB">
        <w:t>) falling in Rx with the given channel assignment</w:t>
      </w:r>
      <w:r w:rsidR="00A83DB1">
        <w:t>.</w:t>
      </w:r>
    </w:p>
    <w:p w14:paraId="68DFC75A" w14:textId="77777777" w:rsidR="002A0187" w:rsidRDefault="002A0187" w:rsidP="002A0187">
      <w:r>
        <w:t>For RAN2, it was agreed the following:</w:t>
      </w:r>
    </w:p>
    <w:p w14:paraId="6BEFB769" w14:textId="77777777" w:rsidR="002A0187" w:rsidRPr="002A0187" w:rsidRDefault="002A0187" w:rsidP="002A0187">
      <w:pPr>
        <w:pStyle w:val="ListParagraph"/>
        <w:numPr>
          <w:ilvl w:val="0"/>
          <w:numId w:val="16"/>
        </w:numPr>
        <w:rPr>
          <w:i/>
        </w:rPr>
      </w:pPr>
      <w:r w:rsidRPr="002A0187">
        <w:rPr>
          <w:i/>
        </w:rPr>
        <w:t xml:space="preserve">Define in RAN4 specs for which band combinations and channel allocations (to the extent specified by RAN4) within that band combination the UE is allowed to indicate that it does not support 2 simultaneous UL </w:t>
      </w:r>
      <w:proofErr w:type="spellStart"/>
      <w:r w:rsidRPr="002A0187">
        <w:rPr>
          <w:i/>
        </w:rPr>
        <w:t>tx</w:t>
      </w:r>
      <w:proofErr w:type="spellEnd"/>
      <w:r w:rsidRPr="002A0187">
        <w:rPr>
          <w:i/>
        </w:rPr>
        <w:t xml:space="preserve"> (this is not implying the granularity of the signalling)</w:t>
      </w:r>
    </w:p>
    <w:p w14:paraId="665C30AD" w14:textId="77777777" w:rsidR="002A0187" w:rsidRPr="002A0187" w:rsidRDefault="002A0187" w:rsidP="002A0187">
      <w:pPr>
        <w:pStyle w:val="ListParagraph"/>
        <w:numPr>
          <w:ilvl w:val="0"/>
          <w:numId w:val="16"/>
        </w:numPr>
        <w:rPr>
          <w:i/>
        </w:rPr>
      </w:pPr>
      <w:r w:rsidRPr="002A0187">
        <w:rPr>
          <w:i/>
        </w:rPr>
        <w:t xml:space="preserve">Signalling to be defined to support the 'red text' from RAN4 part of the single </w:t>
      </w:r>
      <w:proofErr w:type="spellStart"/>
      <w:r w:rsidRPr="002A0187">
        <w:rPr>
          <w:i/>
        </w:rPr>
        <w:t>tx</w:t>
      </w:r>
      <w:proofErr w:type="spellEnd"/>
      <w:r w:rsidRPr="002A0187">
        <w:rPr>
          <w:i/>
        </w:rPr>
        <w:t xml:space="preserve"> discussion (i.e. as in RP-172064):</w:t>
      </w:r>
    </w:p>
    <w:p w14:paraId="79C44EA9" w14:textId="77777777" w:rsidR="002A0187" w:rsidRPr="002A0187" w:rsidRDefault="002A0187" w:rsidP="002A0187">
      <w:pPr>
        <w:pStyle w:val="ListParagraph"/>
        <w:rPr>
          <w:i/>
        </w:rPr>
      </w:pPr>
      <w:r w:rsidRPr="002A0187">
        <w:rPr>
          <w:i/>
        </w:rPr>
        <w:t xml:space="preserve">UE capability indicates that the UE does not allow 2 simultaneous UL transmission for the RAN4 specified channel allocations in a given band combination. If the network chooses to operate the UE in a way that is not consistent with this capability </w:t>
      </w:r>
      <w:proofErr w:type="gramStart"/>
      <w:r w:rsidRPr="002A0187">
        <w:rPr>
          <w:i/>
        </w:rPr>
        <w:t>indication</w:t>
      </w:r>
      <w:proofErr w:type="gramEnd"/>
      <w:r w:rsidRPr="002A0187">
        <w:rPr>
          <w:i/>
        </w:rPr>
        <w:t xml:space="preserve"> then the UE </w:t>
      </w:r>
      <w:proofErr w:type="spellStart"/>
      <w:r w:rsidRPr="002A0187">
        <w:rPr>
          <w:i/>
        </w:rPr>
        <w:t>behavior</w:t>
      </w:r>
      <w:proofErr w:type="spellEnd"/>
      <w:r w:rsidRPr="002A0187">
        <w:rPr>
          <w:i/>
        </w:rPr>
        <w:t xml:space="preserve"> is not specified and the UE might not meet the performance criteria.</w:t>
      </w:r>
    </w:p>
    <w:p w14:paraId="7B0AA639" w14:textId="77777777" w:rsidR="004000E8" w:rsidRPr="00CE0424" w:rsidRDefault="004000E8" w:rsidP="00CE0424">
      <w:pPr>
        <w:pStyle w:val="Heading1"/>
      </w:pPr>
      <w:bookmarkStart w:id="2" w:name="_Ref178064866"/>
      <w:r w:rsidRPr="00CE0424">
        <w:t>Discussion</w:t>
      </w:r>
      <w:bookmarkEnd w:id="2"/>
    </w:p>
    <w:p w14:paraId="19DE0F2D" w14:textId="68E9CB45" w:rsidR="00F20DD2" w:rsidRDefault="00F20DD2" w:rsidP="00F20DD2">
      <w:pPr>
        <w:pStyle w:val="Heading2"/>
      </w:pPr>
      <w:r>
        <w:t>Capability signalling</w:t>
      </w:r>
    </w:p>
    <w:p w14:paraId="402787AB" w14:textId="61508896" w:rsidR="00F41A3F" w:rsidRDefault="00F41A3F" w:rsidP="00CE0424">
      <w:pPr>
        <w:pStyle w:val="BodyText"/>
      </w:pPr>
      <w:r>
        <w:t>As discussed in the background section, it is task for the RAN2 to specify capability signalling to indicate that the UE does not support simultaneous 2 TX</w:t>
      </w:r>
      <w:r w:rsidR="00A83DB1">
        <w:t xml:space="preserve"> even it supports UL DC in the capability signalling</w:t>
      </w:r>
      <w:r>
        <w:t xml:space="preserve">. </w:t>
      </w:r>
    </w:p>
    <w:p w14:paraId="7D10E07A" w14:textId="604A9FB9" w:rsidR="00F41A3F" w:rsidRDefault="00F41A3F" w:rsidP="00CE0424">
      <w:pPr>
        <w:pStyle w:val="BodyText"/>
      </w:pPr>
      <w:r>
        <w:t xml:space="preserve">We consider that </w:t>
      </w:r>
      <w:r w:rsidR="00A83DB1">
        <w:t xml:space="preserve">new </w:t>
      </w:r>
      <w:r>
        <w:t>signalling should indicate incapability to support 2TX instead of capability. That is to say, default assumption is that UE should have sufficient RF to support band combinations it is advertising in the CA related capability signalling. However, in some problematic scenarios,</w:t>
      </w:r>
      <w:r w:rsidR="003338FE">
        <w:t xml:space="preserve"> due to intermodulation and </w:t>
      </w:r>
      <w:r w:rsidR="003338FE">
        <w:lastRenderedPageBreak/>
        <w:t>harmonics,</w:t>
      </w:r>
      <w:r>
        <w:t xml:space="preserve"> the UE may requests TDM solution. This is similar to measurement gap request which is also in the capability signalling.</w:t>
      </w:r>
    </w:p>
    <w:p w14:paraId="26A7BB3E" w14:textId="2C1A707A" w:rsidR="001E74A4" w:rsidRDefault="00F41A3F" w:rsidP="00A04F49">
      <w:pPr>
        <w:pStyle w:val="Proposal"/>
      </w:pPr>
      <w:bookmarkStart w:id="3" w:name="_Toc494123938"/>
      <w:bookmarkStart w:id="4" w:name="_Toc494300496"/>
      <w:bookmarkStart w:id="5" w:name="_Toc494302711"/>
      <w:bookmarkStart w:id="6" w:name="_Toc494412227"/>
      <w:r>
        <w:t xml:space="preserve">RAN2 should introduce “need </w:t>
      </w:r>
      <w:r w:rsidR="001E74A4">
        <w:t>single TX transmission” capability</w:t>
      </w:r>
      <w:bookmarkEnd w:id="3"/>
      <w:r w:rsidR="003338FE">
        <w:t xml:space="preserve"> in the NR capability signalling</w:t>
      </w:r>
      <w:bookmarkEnd w:id="4"/>
      <w:bookmarkEnd w:id="5"/>
      <w:bookmarkEnd w:id="6"/>
    </w:p>
    <w:p w14:paraId="4E91F6AA" w14:textId="2D4DFE5E" w:rsidR="001E74A4" w:rsidRDefault="001E74A4" w:rsidP="003338FE">
      <w:pPr>
        <w:pStyle w:val="Proposal"/>
        <w:numPr>
          <w:ilvl w:val="0"/>
          <w:numId w:val="0"/>
        </w:numPr>
      </w:pPr>
    </w:p>
    <w:p w14:paraId="242420C9" w14:textId="3522CBFA" w:rsidR="001E74A4" w:rsidRPr="001E74A4" w:rsidRDefault="001E74A4" w:rsidP="001E74A4">
      <w:pPr>
        <w:pStyle w:val="BodyText"/>
      </w:pPr>
      <w:r w:rsidRPr="001E74A4">
        <w:t>As noted in th</w:t>
      </w:r>
      <w:r>
        <w:t xml:space="preserve">e RAN plenary agreements, granularity of this capability should be aligned with the RAN4 agreement on problematic band combinations and channel </w:t>
      </w:r>
      <w:r w:rsidR="003338FE">
        <w:t>assessments</w:t>
      </w:r>
      <w:r>
        <w:t xml:space="preserve">. </w:t>
      </w:r>
    </w:p>
    <w:p w14:paraId="1226A4F7" w14:textId="70542EDD" w:rsidR="001E74A4" w:rsidRPr="00061651" w:rsidRDefault="001E74A4" w:rsidP="00061651">
      <w:pPr>
        <w:pStyle w:val="BodyText"/>
      </w:pPr>
      <w:r w:rsidRPr="00061651">
        <w:t>In LTE UL CA, the</w:t>
      </w:r>
      <w:r w:rsidR="00061651" w:rsidRPr="00061651">
        <w:t xml:space="preserve"> indication to solve problems is signalled in terms of carrier frequency combinations</w:t>
      </w:r>
      <w:r w:rsidR="00061651">
        <w:t xml:space="preserve"> for which 1) the UE supports CA and 2) the measurement object is configured</w:t>
      </w:r>
      <w:r w:rsidR="00061651" w:rsidRPr="00061651">
        <w:t>.</w:t>
      </w:r>
    </w:p>
    <w:p w14:paraId="1B540665" w14:textId="77777777" w:rsidR="00061651" w:rsidRPr="00061651" w:rsidRDefault="00061651" w:rsidP="00061651">
      <w:pPr>
        <w:pStyle w:val="PL"/>
        <w:shd w:val="clear" w:color="auto" w:fill="E6E6E6"/>
        <w:rPr>
          <w:lang w:val="en-US"/>
        </w:rPr>
      </w:pPr>
      <w:r w:rsidRPr="00061651">
        <w:rPr>
          <w:lang w:val="en-US" w:eastAsia="zh-CN"/>
        </w:rPr>
        <w:t>InDeviceCoexIndication</w:t>
      </w:r>
      <w:r w:rsidRPr="00061651">
        <w:rPr>
          <w:lang w:val="en-US"/>
        </w:rPr>
        <w:t>-v</w:t>
      </w:r>
      <w:r w:rsidRPr="00061651">
        <w:rPr>
          <w:lang w:val="en-US" w:eastAsia="zh-CN"/>
        </w:rPr>
        <w:t>1</w:t>
      </w:r>
      <w:r w:rsidRPr="00061651">
        <w:rPr>
          <w:lang w:val="en-US"/>
        </w:rPr>
        <w:t>1d0-IEs ::=</w:t>
      </w:r>
      <w:r w:rsidRPr="00061651">
        <w:rPr>
          <w:lang w:val="en-US"/>
        </w:rPr>
        <w:tab/>
        <w:t>SEQUENCE {</w:t>
      </w:r>
    </w:p>
    <w:p w14:paraId="0185FE40" w14:textId="77777777" w:rsidR="00061651" w:rsidRPr="00061651" w:rsidRDefault="00061651" w:rsidP="00061651">
      <w:pPr>
        <w:pStyle w:val="PL"/>
        <w:shd w:val="clear" w:color="auto" w:fill="E6E6E6"/>
        <w:rPr>
          <w:lang w:val="en-US"/>
        </w:rPr>
      </w:pPr>
      <w:r w:rsidRPr="00061651">
        <w:rPr>
          <w:lang w:val="en-US"/>
        </w:rPr>
        <w:tab/>
        <w:t>ul-CA-AssistanceInfo-r11</w:t>
      </w:r>
      <w:r w:rsidRPr="00061651">
        <w:rPr>
          <w:lang w:val="en-US"/>
        </w:rPr>
        <w:tab/>
      </w:r>
      <w:r w:rsidRPr="00061651">
        <w:rPr>
          <w:lang w:val="en-US"/>
        </w:rPr>
        <w:tab/>
      </w:r>
      <w:r w:rsidRPr="00061651">
        <w:rPr>
          <w:lang w:val="en-US"/>
        </w:rPr>
        <w:tab/>
        <w:t>SEQUENCE {</w:t>
      </w:r>
    </w:p>
    <w:p w14:paraId="0C77A183" w14:textId="77777777" w:rsidR="00061651" w:rsidRPr="00061651" w:rsidRDefault="00061651" w:rsidP="00061651">
      <w:pPr>
        <w:pStyle w:val="PL"/>
        <w:shd w:val="clear" w:color="auto" w:fill="E6E6E6"/>
        <w:rPr>
          <w:lang w:val="en-US"/>
        </w:rPr>
      </w:pPr>
      <w:r w:rsidRPr="00061651">
        <w:rPr>
          <w:lang w:val="en-US"/>
        </w:rPr>
        <w:tab/>
      </w:r>
      <w:r w:rsidRPr="00061651">
        <w:rPr>
          <w:lang w:val="en-US"/>
        </w:rPr>
        <w:tab/>
        <w:t>affectedCarrierFreqCombList-r11</w:t>
      </w:r>
      <w:r w:rsidRPr="00061651">
        <w:rPr>
          <w:lang w:val="en-US"/>
        </w:rPr>
        <w:tab/>
        <w:t>AffectedCarrierFreqCombList-r11</w:t>
      </w:r>
      <w:r w:rsidRPr="00061651">
        <w:rPr>
          <w:lang w:val="en-US"/>
        </w:rPr>
        <w:tab/>
      </w:r>
      <w:r w:rsidRPr="00061651">
        <w:rPr>
          <w:lang w:val="en-US"/>
        </w:rPr>
        <w:tab/>
      </w:r>
      <w:r w:rsidRPr="00061651">
        <w:rPr>
          <w:lang w:val="en-US"/>
        </w:rPr>
        <w:tab/>
        <w:t xml:space="preserve">OPTIONAL, </w:t>
      </w:r>
    </w:p>
    <w:p w14:paraId="647BE446" w14:textId="77777777" w:rsidR="00061651" w:rsidRPr="00061651" w:rsidRDefault="00061651" w:rsidP="00061651">
      <w:pPr>
        <w:pStyle w:val="PL"/>
        <w:shd w:val="clear" w:color="auto" w:fill="E6E6E6"/>
        <w:rPr>
          <w:lang w:val="en-US"/>
        </w:rPr>
      </w:pPr>
      <w:r w:rsidRPr="00061651">
        <w:rPr>
          <w:lang w:val="en-US"/>
        </w:rPr>
        <w:tab/>
      </w:r>
      <w:r w:rsidRPr="00061651">
        <w:rPr>
          <w:lang w:val="en-US"/>
        </w:rPr>
        <w:tab/>
        <w:t>victimSystemType-r11</w:t>
      </w:r>
      <w:r w:rsidRPr="00061651">
        <w:rPr>
          <w:lang w:val="en-US"/>
        </w:rPr>
        <w:tab/>
      </w:r>
      <w:r w:rsidRPr="00061651">
        <w:rPr>
          <w:lang w:val="en-US"/>
        </w:rPr>
        <w:tab/>
      </w:r>
      <w:r w:rsidRPr="00061651">
        <w:rPr>
          <w:lang w:val="en-US"/>
        </w:rPr>
        <w:tab/>
      </w:r>
      <w:r w:rsidRPr="00061651">
        <w:rPr>
          <w:lang w:val="en-US"/>
        </w:rPr>
        <w:tab/>
        <w:t>VictimSystemType-r11</w:t>
      </w:r>
    </w:p>
    <w:p w14:paraId="7FF133EB" w14:textId="77777777" w:rsidR="00061651" w:rsidRPr="00061651" w:rsidRDefault="00061651" w:rsidP="00061651">
      <w:pPr>
        <w:pStyle w:val="PL"/>
        <w:shd w:val="clear" w:color="auto" w:fill="E6E6E6"/>
        <w:rPr>
          <w:lang w:val="en-US"/>
        </w:rPr>
      </w:pPr>
      <w:r w:rsidRPr="00061651">
        <w:rPr>
          <w:lang w:val="en-US"/>
        </w:rPr>
        <w:tab/>
        <w:t>}</w:t>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t>OPTIONAL,</w:t>
      </w:r>
    </w:p>
    <w:p w14:paraId="6361C8D6" w14:textId="77777777" w:rsidR="00061651" w:rsidRPr="00061651" w:rsidRDefault="00061651" w:rsidP="00061651">
      <w:pPr>
        <w:pStyle w:val="PL"/>
        <w:shd w:val="clear" w:color="auto" w:fill="E6E6E6"/>
        <w:rPr>
          <w:lang w:val="en-US"/>
        </w:rPr>
      </w:pPr>
      <w:r w:rsidRPr="00061651">
        <w:rPr>
          <w:lang w:val="en-US"/>
        </w:rPr>
        <w:tab/>
        <w:t>nonCriticalExtension</w:t>
      </w:r>
      <w:r w:rsidRPr="00061651">
        <w:rPr>
          <w:lang w:val="en-US"/>
        </w:rPr>
        <w:tab/>
      </w:r>
      <w:r w:rsidRPr="00061651">
        <w:rPr>
          <w:lang w:val="en-US"/>
        </w:rPr>
        <w:tab/>
      </w:r>
      <w:r w:rsidRPr="00061651">
        <w:rPr>
          <w:lang w:val="en-US"/>
        </w:rPr>
        <w:tab/>
      </w:r>
      <w:r w:rsidRPr="00061651">
        <w:rPr>
          <w:lang w:val="en-US"/>
        </w:rPr>
        <w:tab/>
      </w:r>
      <w:r w:rsidRPr="00061651">
        <w:rPr>
          <w:lang w:val="en-US" w:eastAsia="zh-CN"/>
        </w:rPr>
        <w:t>InDeviceCoexIndication-v1310-IEs</w:t>
      </w:r>
      <w:r w:rsidRPr="00061651" w:rsidDel="00C912B3">
        <w:rPr>
          <w:lang w:val="en-US" w:eastAsia="zh-CN"/>
        </w:rPr>
        <w:t xml:space="preserve"> </w:t>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r>
      <w:r w:rsidRPr="00061651">
        <w:rPr>
          <w:lang w:val="en-US"/>
        </w:rPr>
        <w:tab/>
        <w:t>OPTIONAL</w:t>
      </w:r>
    </w:p>
    <w:p w14:paraId="3962AD5B" w14:textId="77777777" w:rsidR="00061651" w:rsidRPr="00061651" w:rsidRDefault="00061651" w:rsidP="00061651">
      <w:pPr>
        <w:pStyle w:val="PL"/>
        <w:shd w:val="clear" w:color="auto" w:fill="E6E6E6"/>
        <w:rPr>
          <w:lang w:val="en-US" w:eastAsia="zh-CN"/>
        </w:rPr>
      </w:pPr>
      <w:r w:rsidRPr="00061651">
        <w:rPr>
          <w:lang w:val="en-US"/>
        </w:rPr>
        <w:t>}</w:t>
      </w:r>
    </w:p>
    <w:p w14:paraId="0B534E12" w14:textId="77777777" w:rsidR="00061651" w:rsidRPr="00061651" w:rsidRDefault="00061651" w:rsidP="001E74A4">
      <w:pPr>
        <w:pStyle w:val="Proposal"/>
        <w:numPr>
          <w:ilvl w:val="0"/>
          <w:numId w:val="0"/>
        </w:numPr>
        <w:ind w:left="1701" w:hanging="1701"/>
        <w:rPr>
          <w:lang w:val="en-US"/>
        </w:rPr>
      </w:pPr>
    </w:p>
    <w:p w14:paraId="094F2DF7" w14:textId="77777777" w:rsidR="00061651" w:rsidRPr="00061651" w:rsidRDefault="00061651" w:rsidP="00061651">
      <w:pPr>
        <w:pStyle w:val="PL"/>
        <w:shd w:val="clear" w:color="auto" w:fill="E6E6E6"/>
        <w:rPr>
          <w:lang w:val="en-US"/>
        </w:rPr>
      </w:pPr>
      <w:r w:rsidRPr="00061651">
        <w:rPr>
          <w:lang w:val="en-US"/>
        </w:rPr>
        <w:t>AffectedCarrierFreqCombList-r11 ::=</w:t>
      </w:r>
      <w:r w:rsidRPr="00061651">
        <w:rPr>
          <w:lang w:val="en-US"/>
        </w:rPr>
        <w:tab/>
        <w:t>SEQUENCE (SIZE (1..maxCombIDC-r11)) OF AffectedCarrierFreqComb-r11</w:t>
      </w:r>
    </w:p>
    <w:p w14:paraId="3DA3072E" w14:textId="77777777" w:rsidR="00061651" w:rsidRPr="00061651" w:rsidRDefault="00061651" w:rsidP="00061651">
      <w:pPr>
        <w:pStyle w:val="PL"/>
        <w:shd w:val="clear" w:color="auto" w:fill="E6E6E6"/>
        <w:rPr>
          <w:lang w:val="en-US" w:eastAsia="zh-CN"/>
        </w:rPr>
      </w:pPr>
    </w:p>
    <w:p w14:paraId="32573283" w14:textId="77777777" w:rsidR="00061651" w:rsidRPr="00061651" w:rsidRDefault="00061651" w:rsidP="00061651">
      <w:pPr>
        <w:pStyle w:val="PL"/>
        <w:shd w:val="clear" w:color="auto" w:fill="E6E6E6"/>
        <w:rPr>
          <w:lang w:val="en-US" w:eastAsia="zh-CN"/>
        </w:rPr>
      </w:pPr>
      <w:r w:rsidRPr="00061651">
        <w:rPr>
          <w:lang w:val="en-US" w:eastAsia="zh-CN"/>
        </w:rPr>
        <w:t xml:space="preserve">AffectedCarrierFreqCombList-r13 ::= </w:t>
      </w:r>
      <w:r w:rsidRPr="00061651">
        <w:rPr>
          <w:lang w:val="en-US"/>
        </w:rPr>
        <w:t>SEQUENCE (SIZE (1..maxCombIDC-r11)) OF AffectedCarrierFreqComb-r1</w:t>
      </w:r>
      <w:r w:rsidRPr="00061651">
        <w:rPr>
          <w:lang w:val="en-US" w:eastAsia="zh-CN"/>
        </w:rPr>
        <w:t>3</w:t>
      </w:r>
    </w:p>
    <w:p w14:paraId="56398FA0" w14:textId="77777777" w:rsidR="00061651" w:rsidRPr="00061651" w:rsidRDefault="00061651" w:rsidP="00061651">
      <w:pPr>
        <w:pStyle w:val="PL"/>
        <w:shd w:val="clear" w:color="auto" w:fill="E6E6E6"/>
        <w:rPr>
          <w:lang w:val="en-US"/>
        </w:rPr>
      </w:pPr>
    </w:p>
    <w:p w14:paraId="7947C443" w14:textId="77777777" w:rsidR="00061651" w:rsidRPr="00061651" w:rsidRDefault="00061651" w:rsidP="00061651">
      <w:pPr>
        <w:pStyle w:val="PL"/>
        <w:shd w:val="clear" w:color="auto" w:fill="E6E6E6"/>
        <w:rPr>
          <w:lang w:val="en-US"/>
        </w:rPr>
      </w:pPr>
      <w:r w:rsidRPr="00061651">
        <w:rPr>
          <w:lang w:val="en-US"/>
        </w:rPr>
        <w:t>AffectedCarrierFreqComb-r11 ::=</w:t>
      </w:r>
      <w:r w:rsidRPr="00061651">
        <w:rPr>
          <w:lang w:val="en-US"/>
        </w:rPr>
        <w:tab/>
        <w:t>SEQUENCE (SIZE (2..maxServCell-r10)) OF MeasObjectId</w:t>
      </w:r>
    </w:p>
    <w:p w14:paraId="5141480F" w14:textId="77777777" w:rsidR="00061651" w:rsidRPr="00061651" w:rsidRDefault="00061651" w:rsidP="00061651">
      <w:pPr>
        <w:pStyle w:val="PL"/>
        <w:shd w:val="clear" w:color="auto" w:fill="E6E6E6"/>
        <w:rPr>
          <w:lang w:val="en-US" w:eastAsia="zh-CN"/>
        </w:rPr>
      </w:pPr>
    </w:p>
    <w:p w14:paraId="50763BE5" w14:textId="77777777" w:rsidR="00061651" w:rsidRPr="00061651" w:rsidRDefault="00061651" w:rsidP="00061651">
      <w:pPr>
        <w:pStyle w:val="PL"/>
        <w:shd w:val="clear" w:color="auto" w:fill="E6E6E6"/>
        <w:rPr>
          <w:lang w:val="en-US" w:eastAsia="zh-CN"/>
        </w:rPr>
      </w:pPr>
      <w:r w:rsidRPr="00061651">
        <w:rPr>
          <w:lang w:val="en-US"/>
        </w:rPr>
        <w:t>AffectedCarrierFreqComb-r1</w:t>
      </w:r>
      <w:r w:rsidRPr="00061651">
        <w:rPr>
          <w:lang w:val="en-US" w:eastAsia="zh-CN"/>
        </w:rPr>
        <w:t xml:space="preserve">3 ::= </w:t>
      </w:r>
      <w:r w:rsidRPr="00061651">
        <w:rPr>
          <w:lang w:val="en-US"/>
        </w:rPr>
        <w:t>SEQUENCE (SIZE (2..maxServCell-r1</w:t>
      </w:r>
      <w:r w:rsidRPr="00061651">
        <w:rPr>
          <w:lang w:val="en-US" w:eastAsia="zh-CN"/>
        </w:rPr>
        <w:t>3</w:t>
      </w:r>
      <w:r w:rsidRPr="00061651">
        <w:rPr>
          <w:lang w:val="en-US"/>
        </w:rPr>
        <w:t>)) OF MeasObjectId</w:t>
      </w:r>
      <w:r w:rsidRPr="00061651">
        <w:rPr>
          <w:lang w:val="en-US" w:eastAsia="zh-CN"/>
        </w:rPr>
        <w:t>-r13</w:t>
      </w:r>
    </w:p>
    <w:p w14:paraId="6E4CAB21" w14:textId="137CDE2F" w:rsidR="00061651" w:rsidRDefault="00061651" w:rsidP="001E74A4">
      <w:pPr>
        <w:pStyle w:val="Proposal"/>
        <w:numPr>
          <w:ilvl w:val="0"/>
          <w:numId w:val="0"/>
        </w:numPr>
        <w:ind w:left="1701" w:hanging="1701"/>
      </w:pPr>
    </w:p>
    <w:p w14:paraId="386463F4" w14:textId="77777777" w:rsidR="00061651" w:rsidRDefault="00061651" w:rsidP="003338FE">
      <w:pPr>
        <w:pStyle w:val="Proposal"/>
        <w:numPr>
          <w:ilvl w:val="0"/>
          <w:numId w:val="0"/>
        </w:numPr>
      </w:pPr>
    </w:p>
    <w:p w14:paraId="6802246F" w14:textId="56C6BD4D" w:rsidR="00061651" w:rsidRDefault="00061651" w:rsidP="00061651">
      <w:pPr>
        <w:pStyle w:val="BodyText"/>
      </w:pPr>
      <w:r>
        <w:t xml:space="preserve">For </w:t>
      </w:r>
      <w:r w:rsidR="003338FE">
        <w:t>EN-DC</w:t>
      </w:r>
      <w:r>
        <w:t>, it is not yet clear what would be granularity of the request. As per RAN plenary agreement, RAN2 should wait further information on this</w:t>
      </w:r>
      <w:r w:rsidR="003338FE">
        <w:t xml:space="preserve"> from RAN4</w:t>
      </w:r>
      <w:r>
        <w:t xml:space="preserve">. After this, it can be concluded if the </w:t>
      </w:r>
      <w:r w:rsidR="003338FE">
        <w:t>signalling is given in terms of:</w:t>
      </w:r>
    </w:p>
    <w:p w14:paraId="761543AE" w14:textId="5CF97BA0" w:rsidR="00061651" w:rsidRDefault="003338FE" w:rsidP="00061651">
      <w:pPr>
        <w:pStyle w:val="BodyText"/>
        <w:numPr>
          <w:ilvl w:val="0"/>
          <w:numId w:val="18"/>
        </w:numPr>
      </w:pPr>
      <w:r>
        <w:t>Capability per c</w:t>
      </w:r>
      <w:r w:rsidR="00061651">
        <w:t>arrier</w:t>
      </w:r>
      <w:r>
        <w:t xml:space="preserve"> frequency</w:t>
      </w:r>
      <w:r w:rsidR="00061651">
        <w:t xml:space="preserve"> combination</w:t>
      </w:r>
      <w:r>
        <w:t xml:space="preserve"> for which MO is configured</w:t>
      </w:r>
      <w:r w:rsidR="00061651">
        <w:t xml:space="preserve"> </w:t>
      </w:r>
      <w:r>
        <w:t>(</w:t>
      </w:r>
      <w:r w:rsidR="00061651">
        <w:t>similar to UL CA case in LTE Rel-11</w:t>
      </w:r>
      <w:r>
        <w:t>)</w:t>
      </w:r>
    </w:p>
    <w:p w14:paraId="52870B16" w14:textId="40DB1B5F" w:rsidR="00061651" w:rsidRDefault="003338FE" w:rsidP="00061651">
      <w:pPr>
        <w:pStyle w:val="BodyText"/>
        <w:numPr>
          <w:ilvl w:val="0"/>
          <w:numId w:val="18"/>
        </w:numPr>
      </w:pPr>
      <w:r>
        <w:t xml:space="preserve">Capability per band and band-entry combinations in the </w:t>
      </w:r>
      <w:r w:rsidR="00A83DB1">
        <w:t>EN-DC</w:t>
      </w:r>
      <w:r>
        <w:t xml:space="preserve"> capability signalling </w:t>
      </w:r>
      <w:r w:rsidR="00061651">
        <w:t xml:space="preserve"> </w:t>
      </w:r>
    </w:p>
    <w:p w14:paraId="2C279374" w14:textId="155233FA" w:rsidR="00061651" w:rsidRDefault="003338FE" w:rsidP="00061651">
      <w:pPr>
        <w:pStyle w:val="BodyText"/>
        <w:numPr>
          <w:ilvl w:val="0"/>
          <w:numId w:val="18"/>
        </w:numPr>
      </w:pPr>
      <w:r>
        <w:t xml:space="preserve">Capability pointing to </w:t>
      </w:r>
      <w:r w:rsidR="00061651">
        <w:t xml:space="preserve">RAN4 tables listing problematic cases </w:t>
      </w:r>
      <w:r>
        <w:t>(e.g. index)</w:t>
      </w:r>
    </w:p>
    <w:p w14:paraId="58316E6B" w14:textId="64D08E76" w:rsidR="00061651" w:rsidRDefault="00061651" w:rsidP="00061651">
      <w:pPr>
        <w:pStyle w:val="BodyText"/>
      </w:pPr>
    </w:p>
    <w:p w14:paraId="5F3FCA10" w14:textId="2F836970" w:rsidR="00061651" w:rsidRDefault="003338FE" w:rsidP="00061651">
      <w:pPr>
        <w:pStyle w:val="Proposal"/>
      </w:pPr>
      <w:bookmarkStart w:id="7" w:name="_Toc494123939"/>
      <w:bookmarkStart w:id="8" w:name="_Toc494300497"/>
      <w:bookmarkStart w:id="9" w:name="_Toc494302712"/>
      <w:bookmarkStart w:id="10" w:name="_Toc494412228"/>
      <w:r>
        <w:t xml:space="preserve">To decide </w:t>
      </w:r>
      <w:r w:rsidR="00061651">
        <w:t>granularity for single TX operation</w:t>
      </w:r>
      <w:r>
        <w:t xml:space="preserve"> capability</w:t>
      </w:r>
      <w:r w:rsidR="00061651">
        <w:t>, RAN2 should wait</w:t>
      </w:r>
      <w:r>
        <w:t xml:space="preserve"> for</w:t>
      </w:r>
      <w:r w:rsidR="00061651">
        <w:t xml:space="preserve"> RAN4 input</w:t>
      </w:r>
      <w:bookmarkEnd w:id="7"/>
      <w:bookmarkEnd w:id="8"/>
      <w:bookmarkEnd w:id="9"/>
      <w:bookmarkEnd w:id="10"/>
    </w:p>
    <w:p w14:paraId="2FF61F02" w14:textId="77777777" w:rsidR="00061651" w:rsidRDefault="00061651" w:rsidP="00061651">
      <w:pPr>
        <w:pStyle w:val="BodyText"/>
      </w:pPr>
    </w:p>
    <w:p w14:paraId="0284878B" w14:textId="372EDCD6" w:rsidR="003742AC" w:rsidRDefault="00F41A3F" w:rsidP="00F20DD2">
      <w:pPr>
        <w:pStyle w:val="Heading2"/>
      </w:pPr>
      <w:r>
        <w:t xml:space="preserve"> </w:t>
      </w:r>
      <w:r w:rsidR="00F20DD2">
        <w:t>TDM pattern towards the UE</w:t>
      </w:r>
    </w:p>
    <w:p w14:paraId="5350A6AF" w14:textId="596F36AA" w:rsidR="003338FE" w:rsidRPr="00576853" w:rsidRDefault="003338FE" w:rsidP="00F20DD2">
      <w:r w:rsidRPr="00576853">
        <w:t xml:space="preserve">If the UE does not support </w:t>
      </w:r>
      <w:r w:rsidR="00A83DB1">
        <w:t>dual</w:t>
      </w:r>
      <w:r w:rsidRPr="00576853">
        <w:t xml:space="preserve"> TX operation, then the network needs to </w:t>
      </w:r>
      <w:r w:rsidR="00576853">
        <w:t>schedule the UL in TDM fashion</w:t>
      </w:r>
      <w:r w:rsidRPr="00576853">
        <w:t xml:space="preserve"> </w:t>
      </w:r>
      <w:r w:rsidR="00576853">
        <w:t>so that the UE can operate this with single TX</w:t>
      </w:r>
      <w:r w:rsidRPr="00576853">
        <w:t>.</w:t>
      </w:r>
    </w:p>
    <w:p w14:paraId="66D38722" w14:textId="1FFE590E" w:rsidR="003338FE" w:rsidRPr="00576853" w:rsidRDefault="003338FE" w:rsidP="00F20DD2"/>
    <w:p w14:paraId="2D652958" w14:textId="77777777" w:rsidR="003338FE" w:rsidRPr="00576853" w:rsidRDefault="003338FE" w:rsidP="00F20DD2">
      <w:r w:rsidRPr="00576853">
        <w:t>In RAN1 meeting in Prague (and earlier), different solutions were discussed and following agreed:</w:t>
      </w:r>
    </w:p>
    <w:p w14:paraId="3AAB5CE5" w14:textId="77777777" w:rsidR="003338FE" w:rsidRPr="00576853" w:rsidRDefault="003338FE" w:rsidP="003338FE">
      <w:pPr>
        <w:numPr>
          <w:ilvl w:val="0"/>
          <w:numId w:val="19"/>
        </w:numPr>
        <w:overflowPunct/>
        <w:autoSpaceDE/>
        <w:autoSpaceDN/>
        <w:adjustRightInd/>
        <w:spacing w:after="0"/>
        <w:jc w:val="left"/>
        <w:textAlignment w:val="auto"/>
        <w:rPr>
          <w:rFonts w:ascii="Calibri" w:hAnsi="Calibri"/>
          <w:i/>
          <w:lang w:val="en-US" w:eastAsia="ja-JP"/>
        </w:rPr>
      </w:pPr>
      <w:r w:rsidRPr="00576853">
        <w:rPr>
          <w:i/>
          <w:lang w:val="en-US" w:eastAsia="ja-JP"/>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5B178319" w14:textId="77777777" w:rsidR="003338FE" w:rsidRPr="00576853" w:rsidRDefault="003338FE" w:rsidP="003338FE">
      <w:pPr>
        <w:numPr>
          <w:ilvl w:val="1"/>
          <w:numId w:val="19"/>
        </w:numPr>
        <w:overflowPunct/>
        <w:autoSpaceDE/>
        <w:autoSpaceDN/>
        <w:adjustRightInd/>
        <w:spacing w:after="0"/>
        <w:jc w:val="left"/>
        <w:textAlignment w:val="auto"/>
        <w:rPr>
          <w:i/>
          <w:lang w:val="en-US" w:eastAsia="ja-JP"/>
        </w:rPr>
      </w:pPr>
      <w:r w:rsidRPr="00576853">
        <w:rPr>
          <w:i/>
          <w:lang w:val="en-US" w:eastAsia="ja-JP"/>
        </w:rPr>
        <w:t xml:space="preserve">For LTE carrier, UE can be configured with </w:t>
      </w:r>
    </w:p>
    <w:p w14:paraId="300D41FB" w14:textId="77777777" w:rsidR="003338FE" w:rsidRPr="00576853" w:rsidRDefault="003338FE" w:rsidP="003338FE">
      <w:pPr>
        <w:numPr>
          <w:ilvl w:val="2"/>
          <w:numId w:val="19"/>
        </w:numPr>
        <w:overflowPunct/>
        <w:autoSpaceDE/>
        <w:autoSpaceDN/>
        <w:adjustRightInd/>
        <w:spacing w:after="0"/>
        <w:jc w:val="left"/>
        <w:textAlignment w:val="auto"/>
        <w:rPr>
          <w:rFonts w:eastAsiaTheme="minorHAnsi"/>
          <w:i/>
          <w:lang w:val="en-US" w:eastAsia="ja-JP"/>
        </w:rPr>
      </w:pPr>
      <w:r w:rsidRPr="00576853">
        <w:rPr>
          <w:i/>
          <w:lang w:val="en-US" w:eastAsia="ja-JP"/>
        </w:rPr>
        <w:t>Case 1: DL-reference UL/DL configuration defined for LTE-FDD-</w:t>
      </w:r>
      <w:proofErr w:type="spellStart"/>
      <w:r w:rsidRPr="00576853">
        <w:rPr>
          <w:i/>
          <w:lang w:val="en-US" w:eastAsia="ja-JP"/>
        </w:rPr>
        <w:t>SCell</w:t>
      </w:r>
      <w:proofErr w:type="spellEnd"/>
      <w:r w:rsidRPr="00576853">
        <w:rPr>
          <w:i/>
          <w:lang w:val="en-US" w:eastAsia="ja-JP"/>
        </w:rPr>
        <w:t xml:space="preserve"> in LTE-TDD-FDD CA with LTE-TDD-</w:t>
      </w:r>
      <w:proofErr w:type="spellStart"/>
      <w:r w:rsidRPr="00576853">
        <w:rPr>
          <w:i/>
          <w:lang w:val="en-US" w:eastAsia="ja-JP"/>
        </w:rPr>
        <w:t>PCell</w:t>
      </w:r>
      <w:proofErr w:type="spellEnd"/>
      <w:r w:rsidRPr="00576853">
        <w:rPr>
          <w:i/>
          <w:lang w:val="en-US" w:eastAsia="ja-JP"/>
        </w:rPr>
        <w:t xml:space="preserve"> </w:t>
      </w:r>
    </w:p>
    <w:p w14:paraId="07A9033E" w14:textId="77777777" w:rsidR="003338FE" w:rsidRPr="00576853" w:rsidRDefault="003338FE" w:rsidP="003338FE">
      <w:pPr>
        <w:numPr>
          <w:ilvl w:val="3"/>
          <w:numId w:val="19"/>
        </w:numPr>
        <w:overflowPunct/>
        <w:autoSpaceDE/>
        <w:autoSpaceDN/>
        <w:adjustRightInd/>
        <w:spacing w:after="0"/>
        <w:jc w:val="left"/>
        <w:textAlignment w:val="auto"/>
        <w:rPr>
          <w:i/>
          <w:lang w:val="en-US" w:eastAsia="ja-JP"/>
        </w:rPr>
      </w:pPr>
      <w:r w:rsidRPr="00576853">
        <w:rPr>
          <w:i/>
          <w:lang w:val="en-US" w:eastAsia="ja-JP"/>
        </w:rPr>
        <w:t>For scheduling/HARQ timing of LTE FDD carrier, DL-reference UL/DL configuration defined for LTE-FDD-</w:t>
      </w:r>
      <w:proofErr w:type="spellStart"/>
      <w:r w:rsidRPr="00576853">
        <w:rPr>
          <w:i/>
          <w:lang w:val="en-US" w:eastAsia="ja-JP"/>
        </w:rPr>
        <w:t>SCell</w:t>
      </w:r>
      <w:proofErr w:type="spellEnd"/>
      <w:r w:rsidRPr="00576853">
        <w:rPr>
          <w:i/>
          <w:lang w:val="en-US" w:eastAsia="ja-JP"/>
        </w:rPr>
        <w:t xml:space="preserve"> in LTE-TDD-FDD CA with LTE-TDD-</w:t>
      </w:r>
      <w:proofErr w:type="spellStart"/>
      <w:r w:rsidRPr="00576853">
        <w:rPr>
          <w:i/>
          <w:lang w:val="en-US" w:eastAsia="ja-JP"/>
        </w:rPr>
        <w:t>PCell</w:t>
      </w:r>
      <w:proofErr w:type="spellEnd"/>
      <w:r w:rsidRPr="00576853">
        <w:rPr>
          <w:i/>
          <w:lang w:val="en-US" w:eastAsia="ja-JP"/>
        </w:rPr>
        <w:t xml:space="preserve"> is applied</w:t>
      </w:r>
    </w:p>
    <w:p w14:paraId="79EE18D1" w14:textId="77777777" w:rsidR="003338FE" w:rsidRPr="00576853" w:rsidRDefault="003338FE" w:rsidP="003338FE">
      <w:pPr>
        <w:numPr>
          <w:ilvl w:val="3"/>
          <w:numId w:val="19"/>
        </w:numPr>
        <w:overflowPunct/>
        <w:autoSpaceDE/>
        <w:autoSpaceDN/>
        <w:adjustRightInd/>
        <w:spacing w:after="0"/>
        <w:jc w:val="left"/>
        <w:textAlignment w:val="auto"/>
        <w:rPr>
          <w:i/>
          <w:lang w:val="en-US" w:eastAsia="ja-JP"/>
        </w:rPr>
      </w:pPr>
      <w:r w:rsidRPr="00576853">
        <w:rPr>
          <w:i/>
          <w:lang w:val="en-US" w:eastAsia="ja-JP"/>
        </w:rPr>
        <w:lastRenderedPageBreak/>
        <w:t xml:space="preserve">UE is allowed to transmit NR UL signals at least in the </w:t>
      </w:r>
      <w:proofErr w:type="spellStart"/>
      <w:r w:rsidRPr="00576853">
        <w:rPr>
          <w:i/>
          <w:lang w:val="en-US" w:eastAsia="ja-JP"/>
        </w:rPr>
        <w:t>subframe</w:t>
      </w:r>
      <w:proofErr w:type="spellEnd"/>
      <w:r w:rsidRPr="00576853">
        <w:rPr>
          <w:i/>
          <w:lang w:val="en-US" w:eastAsia="ja-JP"/>
        </w:rPr>
        <w:t>(s) where LTE UL transmission is not allowed according to the DL-reference UL/DL configuration</w:t>
      </w:r>
    </w:p>
    <w:p w14:paraId="3E3B0C14" w14:textId="77777777" w:rsidR="003338FE" w:rsidRPr="00576853" w:rsidRDefault="003338FE" w:rsidP="003338FE">
      <w:pPr>
        <w:numPr>
          <w:ilvl w:val="3"/>
          <w:numId w:val="19"/>
        </w:numPr>
        <w:overflowPunct/>
        <w:autoSpaceDE/>
        <w:autoSpaceDN/>
        <w:adjustRightInd/>
        <w:spacing w:after="0"/>
        <w:jc w:val="left"/>
        <w:textAlignment w:val="auto"/>
        <w:rPr>
          <w:i/>
          <w:lang w:val="en-US" w:eastAsia="ja-JP"/>
        </w:rPr>
      </w:pPr>
      <w:r w:rsidRPr="00576853">
        <w:rPr>
          <w:i/>
          <w:lang w:val="en-US" w:eastAsia="ja-JP"/>
        </w:rPr>
        <w:t xml:space="preserve">FFS whether or not a UE-specific </w:t>
      </w:r>
      <w:proofErr w:type="spellStart"/>
      <w:r w:rsidRPr="00576853">
        <w:rPr>
          <w:i/>
          <w:lang w:val="en-US" w:eastAsia="ja-JP"/>
        </w:rPr>
        <w:t>subframe</w:t>
      </w:r>
      <w:proofErr w:type="spellEnd"/>
      <w:r w:rsidRPr="00576853">
        <w:rPr>
          <w:i/>
          <w:lang w:val="en-US" w:eastAsia="ja-JP"/>
        </w:rPr>
        <w:t xml:space="preserve"> offset for the DL-reference UL/DL configuration can be configured considering system resource utilization and potential spec impact</w:t>
      </w:r>
    </w:p>
    <w:p w14:paraId="7A4B225F" w14:textId="77777777" w:rsidR="003338FE" w:rsidRPr="00576853" w:rsidRDefault="003338FE" w:rsidP="003338FE">
      <w:pPr>
        <w:numPr>
          <w:ilvl w:val="2"/>
          <w:numId w:val="19"/>
        </w:numPr>
        <w:overflowPunct/>
        <w:autoSpaceDE/>
        <w:autoSpaceDN/>
        <w:adjustRightInd/>
        <w:spacing w:after="0"/>
        <w:jc w:val="left"/>
        <w:textAlignment w:val="auto"/>
        <w:rPr>
          <w:i/>
          <w:lang w:val="en-US" w:eastAsia="ja-JP"/>
        </w:rPr>
      </w:pPr>
      <w:r w:rsidRPr="00576853">
        <w:rPr>
          <w:i/>
          <w:lang w:val="en-US" w:eastAsia="ja-JP"/>
        </w:rPr>
        <w:t>Case 2: Release 15 LTE-FDD HARQ timing</w:t>
      </w:r>
    </w:p>
    <w:p w14:paraId="2F727ED0" w14:textId="77777777" w:rsidR="003338FE" w:rsidRPr="00576853" w:rsidRDefault="003338FE" w:rsidP="003338FE">
      <w:pPr>
        <w:numPr>
          <w:ilvl w:val="3"/>
          <w:numId w:val="19"/>
        </w:numPr>
        <w:overflowPunct/>
        <w:autoSpaceDE/>
        <w:autoSpaceDN/>
        <w:adjustRightInd/>
        <w:spacing w:after="0"/>
        <w:jc w:val="left"/>
        <w:textAlignment w:val="auto"/>
        <w:rPr>
          <w:i/>
          <w:lang w:val="en-US" w:eastAsia="ja-JP"/>
        </w:rPr>
      </w:pPr>
      <w:r w:rsidRPr="00576853">
        <w:rPr>
          <w:i/>
          <w:lang w:val="en-US" w:eastAsia="ja-JP"/>
        </w:rPr>
        <w:t>No impact on LTE RAN1 specifications</w:t>
      </w:r>
    </w:p>
    <w:p w14:paraId="5677C568" w14:textId="77777777" w:rsidR="003338FE" w:rsidRPr="00576853" w:rsidRDefault="003338FE" w:rsidP="003338FE">
      <w:pPr>
        <w:numPr>
          <w:ilvl w:val="2"/>
          <w:numId w:val="19"/>
        </w:numPr>
        <w:overflowPunct/>
        <w:autoSpaceDE/>
        <w:autoSpaceDN/>
        <w:adjustRightInd/>
        <w:spacing w:after="0"/>
        <w:jc w:val="left"/>
        <w:textAlignment w:val="auto"/>
        <w:rPr>
          <w:i/>
          <w:lang w:val="en-US" w:eastAsia="ja-JP"/>
        </w:rPr>
      </w:pPr>
      <w:r w:rsidRPr="00576853">
        <w:rPr>
          <w:i/>
          <w:lang w:val="en-US" w:eastAsia="ja-JP"/>
        </w:rPr>
        <w:t>Note: it doesn’t necessarily imply that UE has to support both cases</w:t>
      </w:r>
    </w:p>
    <w:p w14:paraId="68A84A3A" w14:textId="77777777" w:rsidR="003338FE" w:rsidRPr="00576853" w:rsidRDefault="003338FE" w:rsidP="00F20DD2"/>
    <w:p w14:paraId="7F1E66A1" w14:textId="7D9ED42E" w:rsidR="00F20DD2" w:rsidRDefault="003338FE" w:rsidP="00F20DD2">
      <w:r w:rsidRPr="00576853">
        <w:t xml:space="preserve">We understand that in </w:t>
      </w:r>
      <w:r w:rsidR="00576853">
        <w:t>both cases</w:t>
      </w:r>
      <w:r w:rsidRPr="00576853">
        <w:t>, TDM pattern is achieved by network implementation</w:t>
      </w:r>
      <w:r w:rsidR="00A83DB1">
        <w:t xml:space="preserve"> and there is no need to signal that to the UE</w:t>
      </w:r>
      <w:r w:rsidRPr="00576853">
        <w:t>.</w:t>
      </w:r>
      <w:r w:rsidR="00576853" w:rsidRPr="00576853">
        <w:t xml:space="preserve"> However, this approach has a problem that the LTE DL throughput is impacted as all UL </w:t>
      </w:r>
      <w:proofErr w:type="spellStart"/>
      <w:r w:rsidR="00576853" w:rsidRPr="00576853">
        <w:t>subframes</w:t>
      </w:r>
      <w:proofErr w:type="spellEnd"/>
      <w:r w:rsidR="00576853" w:rsidRPr="00576853">
        <w:t xml:space="preserve"> are not available for HARQ feedback transmission. Due to this, </w:t>
      </w:r>
      <w:r w:rsidR="00576853">
        <w:t>t</w:t>
      </w:r>
      <w:r w:rsidR="00576853" w:rsidRPr="00576853">
        <w:t>he UE can be configured with the additional HARQ timing configuration as per RAN1 agreements.</w:t>
      </w:r>
    </w:p>
    <w:p w14:paraId="06CC8F0C" w14:textId="77777777" w:rsidR="00B72B61" w:rsidRDefault="00B72B61" w:rsidP="00F20DD2"/>
    <w:p w14:paraId="353D13AE" w14:textId="3071566D" w:rsidR="00D47FDB" w:rsidRDefault="00D47FDB" w:rsidP="00B72B61">
      <w:pPr>
        <w:pStyle w:val="Proposal"/>
      </w:pPr>
      <w:bookmarkStart w:id="11" w:name="_Toc494302713"/>
      <w:bookmarkStart w:id="12" w:name="_Toc494412229"/>
      <w:bookmarkStart w:id="13" w:name="_Toc494300498"/>
      <w:r>
        <w:t xml:space="preserve">TDM pattern </w:t>
      </w:r>
      <w:r w:rsidR="00A83DB1">
        <w:t xml:space="preserve">is not </w:t>
      </w:r>
      <w:r>
        <w:t>signalled towards the UE</w:t>
      </w:r>
      <w:bookmarkEnd w:id="11"/>
      <w:r>
        <w:t xml:space="preserve"> </w:t>
      </w:r>
      <w:r w:rsidR="00A83DB1">
        <w:t>but is achieved by network scheduling</w:t>
      </w:r>
      <w:bookmarkEnd w:id="12"/>
    </w:p>
    <w:p w14:paraId="6C2D67BF" w14:textId="33789D73" w:rsidR="00B72B61" w:rsidRPr="00B72B61" w:rsidRDefault="00B72B61" w:rsidP="00B72B61">
      <w:pPr>
        <w:pStyle w:val="Proposal"/>
      </w:pPr>
      <w:bookmarkStart w:id="14" w:name="_Toc494302714"/>
      <w:bookmarkStart w:id="15" w:name="_Toc494412230"/>
      <w:r w:rsidRPr="00B72B61">
        <w:t xml:space="preserve">RAN2 should introduce signalling for DL-reference UL/DL configuration </w:t>
      </w:r>
      <w:r w:rsidRPr="00B72B61">
        <w:rPr>
          <w:lang w:val="en-US" w:eastAsia="ja-JP"/>
        </w:rPr>
        <w:t>defined for LTE-FDD-</w:t>
      </w:r>
      <w:proofErr w:type="spellStart"/>
      <w:r w:rsidRPr="00B72B61">
        <w:rPr>
          <w:lang w:val="en-US" w:eastAsia="ja-JP"/>
        </w:rPr>
        <w:t>SCell</w:t>
      </w:r>
      <w:proofErr w:type="spellEnd"/>
      <w:r w:rsidRPr="00B72B61">
        <w:rPr>
          <w:lang w:val="en-US" w:eastAsia="ja-JP"/>
        </w:rPr>
        <w:t xml:space="preserve"> in LTE-TDD-FDD CA with LTE-TDD-</w:t>
      </w:r>
      <w:proofErr w:type="spellStart"/>
      <w:r w:rsidRPr="00B72B61">
        <w:rPr>
          <w:lang w:val="en-US" w:eastAsia="ja-JP"/>
        </w:rPr>
        <w:t>PCell</w:t>
      </w:r>
      <w:proofErr w:type="spellEnd"/>
      <w:r w:rsidRPr="00B72B61">
        <w:rPr>
          <w:lang w:val="en-US" w:eastAsia="ja-JP"/>
        </w:rPr>
        <w:t xml:space="preserve"> as per RAN1 agreement</w:t>
      </w:r>
      <w:bookmarkEnd w:id="13"/>
      <w:bookmarkEnd w:id="14"/>
      <w:bookmarkEnd w:id="15"/>
    </w:p>
    <w:p w14:paraId="013AD073" w14:textId="0F8FBBF2" w:rsidR="003742AC" w:rsidRDefault="003742AC" w:rsidP="006E062C"/>
    <w:p w14:paraId="1829F7DA" w14:textId="599993A3" w:rsidR="00B72B61" w:rsidRDefault="00D47FDB" w:rsidP="006E062C">
      <w:r>
        <w:t xml:space="preserve">In </w:t>
      </w:r>
      <w:r w:rsidR="00A83DB1">
        <w:t>[1]</w:t>
      </w:r>
      <w:r>
        <w:t>, it was discussed that</w:t>
      </w:r>
      <w:r w:rsidRPr="00D47FDB">
        <w:t xml:space="preserve"> having a fixed activity pattern has</w:t>
      </w:r>
      <w:r>
        <w:t xml:space="preserve"> some drawba</w:t>
      </w:r>
      <w:r w:rsidR="00E81B86">
        <w:t>cks as there is additional latency as well as reduction in the throughput. It</w:t>
      </w:r>
      <w:r w:rsidR="00B72B61">
        <w:t xml:space="preserve"> was discussed if the UE could automatically turn off one</w:t>
      </w:r>
      <w:r w:rsidR="00A83DB1">
        <w:t xml:space="preserve"> of the</w:t>
      </w:r>
      <w:r w:rsidR="00B72B61">
        <w:t xml:space="preserve"> link</w:t>
      </w:r>
      <w:r w:rsidR="00A83DB1">
        <w:t>s</w:t>
      </w:r>
      <w:r w:rsidR="00B72B61">
        <w:t xml:space="preserve"> out of two. </w:t>
      </w:r>
      <w:r w:rsidR="00E81B86">
        <w:t>That is</w:t>
      </w:r>
      <w:r w:rsidR="00B72B61">
        <w:t xml:space="preserve">, if the UE receives two grants </w:t>
      </w:r>
      <w:r w:rsidR="00A83DB1">
        <w:t>on</w:t>
      </w:r>
      <w:r w:rsidR="00B72B61">
        <w:t xml:space="preserve"> two carriers</w:t>
      </w:r>
      <w:r w:rsidR="00E81B86">
        <w:t>, it may drop one. This can be considered as autonomous denial as discussed in other contexts</w:t>
      </w:r>
      <w:r w:rsidR="00A83DB1">
        <w:t xml:space="preserve"> like REl-11 IDC</w:t>
      </w:r>
      <w:r w:rsidR="00E81B86">
        <w:t>.</w:t>
      </w:r>
    </w:p>
    <w:p w14:paraId="44E5AA5D" w14:textId="18A0920D" w:rsidR="00E81B86" w:rsidRDefault="00627ED7" w:rsidP="006E062C">
      <w:r>
        <w:t>We could consider different schemes</w:t>
      </w:r>
      <w:r w:rsidR="00A83DB1">
        <w:t xml:space="preserve"> for EN-DC</w:t>
      </w:r>
      <w:r>
        <w:t>:</w:t>
      </w:r>
    </w:p>
    <w:p w14:paraId="18256DCE" w14:textId="5D679E19" w:rsidR="00627ED7" w:rsidRDefault="00627ED7" w:rsidP="00627ED7">
      <w:pPr>
        <w:pStyle w:val="ListParagraph"/>
        <w:numPr>
          <w:ilvl w:val="0"/>
          <w:numId w:val="20"/>
        </w:numPr>
      </w:pPr>
      <w:r w:rsidRPr="00627ED7">
        <w:rPr>
          <w:b/>
        </w:rPr>
        <w:t>All DL and UL data transmitted over NR.</w:t>
      </w:r>
      <w:r>
        <w:t xml:space="preserve"> In such case, traffic in LTE UL would be quite infrequent and unexpected. There autonomous denial in the NR side could be ok to allow to transmit rare RRC signalling </w:t>
      </w:r>
      <w:r w:rsidR="00A83DB1">
        <w:t xml:space="preserve">in LTE </w:t>
      </w:r>
      <w:r>
        <w:t xml:space="preserve">(as argued in </w:t>
      </w:r>
      <w:r w:rsidR="00A83DB1">
        <w:t>[2]</w:t>
      </w:r>
      <w:r>
        <w:t xml:space="preserve">) </w:t>
      </w:r>
    </w:p>
    <w:p w14:paraId="411A9C05" w14:textId="77777777" w:rsidR="008679CF" w:rsidRPr="008679CF" w:rsidRDefault="008679CF" w:rsidP="008679CF">
      <w:pPr>
        <w:pStyle w:val="ListParagraph"/>
      </w:pPr>
    </w:p>
    <w:p w14:paraId="49D4632E" w14:textId="0077102A" w:rsidR="00E81B86" w:rsidRDefault="00627ED7" w:rsidP="00627ED7">
      <w:pPr>
        <w:pStyle w:val="ListParagraph"/>
        <w:numPr>
          <w:ilvl w:val="0"/>
          <w:numId w:val="20"/>
        </w:numPr>
      </w:pPr>
      <w:r w:rsidRPr="00627ED7">
        <w:rPr>
          <w:b/>
        </w:rPr>
        <w:t xml:space="preserve">DL traffic transmitted over NR and UL traffic over LTE UL. </w:t>
      </w:r>
      <w:r>
        <w:t xml:space="preserve">This </w:t>
      </w:r>
      <w:r w:rsidR="004E090B">
        <w:t xml:space="preserve">scenario could be quite </w:t>
      </w:r>
      <w:r>
        <w:t xml:space="preserve">probable scenario as NR UL could be limited in coverage. In this case, some UL </w:t>
      </w:r>
      <w:proofErr w:type="spellStart"/>
      <w:r>
        <w:t>subframes</w:t>
      </w:r>
      <w:proofErr w:type="spellEnd"/>
      <w:r>
        <w:t xml:space="preserve"> are needed in the NR UL for RLC and HARQ feedback</w:t>
      </w:r>
      <w:r w:rsidR="008679CF">
        <w:t>. There autonomous denials would be too frequent and would have negative impact on the link adaptation.</w:t>
      </w:r>
    </w:p>
    <w:p w14:paraId="4A4F73B0" w14:textId="77777777" w:rsidR="008679CF" w:rsidRDefault="008679CF" w:rsidP="008679CF">
      <w:pPr>
        <w:pStyle w:val="ListParagraph"/>
      </w:pPr>
    </w:p>
    <w:p w14:paraId="72B3DCD1" w14:textId="77777777" w:rsidR="008679CF" w:rsidRDefault="008679CF" w:rsidP="008679CF">
      <w:pPr>
        <w:pStyle w:val="ListParagraph"/>
      </w:pPr>
    </w:p>
    <w:p w14:paraId="0F849139" w14:textId="43A3C8C2" w:rsidR="004E090B" w:rsidRPr="00CE0424" w:rsidRDefault="008679CF" w:rsidP="006E062C">
      <w:pPr>
        <w:pStyle w:val="Proposal"/>
      </w:pPr>
      <w:bookmarkStart w:id="16" w:name="_Toc494302715"/>
      <w:bookmarkStart w:id="17" w:name="_Toc494412231"/>
      <w:r>
        <w:t>Discuss use cases for “autonomous denials”. If found useful, then network should be able to configure in which cell group and logical channel autonomous denial is allowed.</w:t>
      </w:r>
      <w:bookmarkEnd w:id="16"/>
      <w:bookmarkEnd w:id="17"/>
      <w:r>
        <w:t xml:space="preserve"> </w:t>
      </w:r>
    </w:p>
    <w:p w14:paraId="485B82C6" w14:textId="77777777" w:rsidR="00C01F33" w:rsidRPr="00CE0424" w:rsidRDefault="00C01F33" w:rsidP="00CE0424">
      <w:pPr>
        <w:pStyle w:val="Heading1"/>
      </w:pPr>
      <w:r w:rsidRPr="00CE0424">
        <w:t>Conclusion</w:t>
      </w:r>
    </w:p>
    <w:p w14:paraId="437A0D40" w14:textId="03577B9F" w:rsidR="008E065E" w:rsidRDefault="008E065E" w:rsidP="008E065E">
      <w:pPr>
        <w:pStyle w:val="BodyText"/>
        <w:rPr>
          <w:b/>
          <w:bCs/>
        </w:rPr>
      </w:pPr>
    </w:p>
    <w:p w14:paraId="2EF29089" w14:textId="77777777" w:rsidR="008575F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018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A9FB641" w14:textId="77777777" w:rsidR="008575F1" w:rsidRPr="008575F1" w:rsidRDefault="008575F1">
      <w:pPr>
        <w:pStyle w:val="TOC1"/>
        <w:rPr>
          <w:rFonts w:asciiTheme="minorHAnsi" w:eastAsiaTheme="minorEastAsia" w:hAnsiTheme="minorHAnsi" w:cstheme="minorBidi"/>
          <w:b w:val="0"/>
          <w:sz w:val="22"/>
          <w:lang w:eastAsia="fi-FI"/>
        </w:rPr>
      </w:pPr>
      <w:r>
        <w:lastRenderedPageBreak/>
        <w:t>Proposal 1</w:t>
      </w:r>
      <w:r w:rsidRPr="008575F1">
        <w:rPr>
          <w:rFonts w:asciiTheme="minorHAnsi" w:eastAsiaTheme="minorEastAsia" w:hAnsiTheme="minorHAnsi" w:cstheme="minorBidi"/>
          <w:b w:val="0"/>
          <w:sz w:val="22"/>
          <w:lang w:eastAsia="fi-FI"/>
        </w:rPr>
        <w:tab/>
      </w:r>
      <w:r>
        <w:t>RAN2 should introduce “need single TX transmission” capability in the NR capability signalling</w:t>
      </w:r>
    </w:p>
    <w:p w14:paraId="4C1FB753" w14:textId="77777777" w:rsidR="008575F1" w:rsidRPr="008575F1" w:rsidRDefault="008575F1">
      <w:pPr>
        <w:pStyle w:val="TOC1"/>
        <w:rPr>
          <w:rFonts w:asciiTheme="minorHAnsi" w:eastAsiaTheme="minorEastAsia" w:hAnsiTheme="minorHAnsi" w:cstheme="minorBidi"/>
          <w:b w:val="0"/>
          <w:sz w:val="22"/>
          <w:lang w:eastAsia="fi-FI"/>
        </w:rPr>
      </w:pPr>
      <w:r>
        <w:t>Proposal 2</w:t>
      </w:r>
      <w:r w:rsidRPr="008575F1">
        <w:rPr>
          <w:rFonts w:asciiTheme="minorHAnsi" w:eastAsiaTheme="minorEastAsia" w:hAnsiTheme="minorHAnsi" w:cstheme="minorBidi"/>
          <w:b w:val="0"/>
          <w:sz w:val="22"/>
          <w:lang w:eastAsia="fi-FI"/>
        </w:rPr>
        <w:tab/>
      </w:r>
      <w:r>
        <w:t>To decide granularity for single TX operation capability, RAN2 should wait for RAN4 input</w:t>
      </w:r>
    </w:p>
    <w:p w14:paraId="77C8D194" w14:textId="77777777" w:rsidR="008575F1" w:rsidRPr="008575F1" w:rsidRDefault="008575F1">
      <w:pPr>
        <w:pStyle w:val="TOC1"/>
        <w:rPr>
          <w:rFonts w:asciiTheme="minorHAnsi" w:eastAsiaTheme="minorEastAsia" w:hAnsiTheme="minorHAnsi" w:cstheme="minorBidi"/>
          <w:b w:val="0"/>
          <w:sz w:val="22"/>
          <w:lang w:eastAsia="fi-FI"/>
        </w:rPr>
      </w:pPr>
      <w:r>
        <w:t>Proposal 3</w:t>
      </w:r>
      <w:r w:rsidRPr="008575F1">
        <w:rPr>
          <w:rFonts w:asciiTheme="minorHAnsi" w:eastAsiaTheme="minorEastAsia" w:hAnsiTheme="minorHAnsi" w:cstheme="minorBidi"/>
          <w:b w:val="0"/>
          <w:sz w:val="22"/>
          <w:lang w:eastAsia="fi-FI"/>
        </w:rPr>
        <w:tab/>
      </w:r>
      <w:r>
        <w:t>TDM pattern is not signalled towards the UE but is achieved by network scheduling</w:t>
      </w:r>
    </w:p>
    <w:p w14:paraId="6E1D0037" w14:textId="77777777" w:rsidR="008575F1" w:rsidRPr="008575F1" w:rsidRDefault="008575F1">
      <w:pPr>
        <w:pStyle w:val="TOC1"/>
        <w:rPr>
          <w:rFonts w:asciiTheme="minorHAnsi" w:eastAsiaTheme="minorEastAsia" w:hAnsiTheme="minorHAnsi" w:cstheme="minorBidi"/>
          <w:b w:val="0"/>
          <w:sz w:val="22"/>
          <w:lang w:eastAsia="fi-FI"/>
        </w:rPr>
      </w:pPr>
      <w:r>
        <w:t>Proposal 4</w:t>
      </w:r>
      <w:r w:rsidRPr="008575F1">
        <w:rPr>
          <w:rFonts w:asciiTheme="minorHAnsi" w:eastAsiaTheme="minorEastAsia" w:hAnsiTheme="minorHAnsi" w:cstheme="minorBidi"/>
          <w:b w:val="0"/>
          <w:sz w:val="22"/>
          <w:lang w:eastAsia="fi-FI"/>
        </w:rPr>
        <w:tab/>
      </w:r>
      <w:r>
        <w:t xml:space="preserve">RAN2 should introduce signalling for DL-reference UL/DL configuration </w:t>
      </w:r>
      <w:r w:rsidRPr="00C84C71">
        <w:rPr>
          <w:lang w:eastAsia="ja-JP"/>
        </w:rPr>
        <w:t>defined for LTE-FDD-SCell in LTE-TDD-FDD CA with LTE-TDD-PCell as per RAN1 agreement</w:t>
      </w:r>
    </w:p>
    <w:p w14:paraId="699E3C15" w14:textId="77777777" w:rsidR="008575F1" w:rsidRPr="008575F1" w:rsidRDefault="008575F1">
      <w:pPr>
        <w:pStyle w:val="TOC1"/>
        <w:rPr>
          <w:rFonts w:asciiTheme="minorHAnsi" w:eastAsiaTheme="minorEastAsia" w:hAnsiTheme="minorHAnsi" w:cstheme="minorBidi"/>
          <w:b w:val="0"/>
          <w:sz w:val="22"/>
          <w:lang w:eastAsia="fi-FI"/>
        </w:rPr>
      </w:pPr>
      <w:r>
        <w:t>Proposal 5</w:t>
      </w:r>
      <w:r w:rsidRPr="008575F1">
        <w:rPr>
          <w:rFonts w:asciiTheme="minorHAnsi" w:eastAsiaTheme="minorEastAsia" w:hAnsiTheme="minorHAnsi" w:cstheme="minorBidi"/>
          <w:b w:val="0"/>
          <w:sz w:val="22"/>
          <w:lang w:eastAsia="fi-FI"/>
        </w:rPr>
        <w:tab/>
      </w:r>
      <w:r>
        <w:t>Discuss use cases for “autonomous denials”. If found useful, then network should be able to configure in which cell group and logical channel autonomous denial is allowed.</w:t>
      </w:r>
    </w:p>
    <w:p w14:paraId="768F8AC6" w14:textId="0E659455" w:rsidR="00311702" w:rsidRPr="002F54B7" w:rsidRDefault="008E065E" w:rsidP="00AB0BC8">
      <w:pPr>
        <w:rPr>
          <w:b/>
          <w:bCs/>
        </w:rPr>
      </w:pPr>
      <w:r>
        <w:rPr>
          <w:b/>
          <w:bCs/>
        </w:rPr>
        <w:fldChar w:fldCharType="end"/>
      </w:r>
    </w:p>
    <w:p w14:paraId="7BCBC330" w14:textId="77777777" w:rsidR="00C01F33" w:rsidRPr="00CE0424" w:rsidRDefault="00C01F33" w:rsidP="006E062C"/>
    <w:p w14:paraId="530C12FB" w14:textId="77777777" w:rsidR="00F507D1" w:rsidRPr="00CE0424" w:rsidRDefault="00F507D1" w:rsidP="00CE0424">
      <w:pPr>
        <w:pStyle w:val="Heading1"/>
      </w:pPr>
      <w:bookmarkStart w:id="18" w:name="_In-sequence_SDU_delivery"/>
      <w:bookmarkEnd w:id="18"/>
      <w:r w:rsidRPr="00CE0424">
        <w:t>References</w:t>
      </w:r>
    </w:p>
    <w:p w14:paraId="04FC5E6D" w14:textId="5DC49740" w:rsidR="005F3025" w:rsidRPr="00CE0424" w:rsidRDefault="002F54B7" w:rsidP="002F54B7">
      <w:pPr>
        <w:pStyle w:val="Reference"/>
      </w:pPr>
      <w:bookmarkStart w:id="19" w:name="_Ref174151459"/>
      <w:bookmarkStart w:id="20" w:name="_Ref189809556"/>
      <w:r w:rsidRPr="002F54B7">
        <w:t>R2-1707822</w:t>
      </w:r>
      <w:r w:rsidR="005F3025" w:rsidRPr="00CE0424">
        <w:t xml:space="preserve">, </w:t>
      </w:r>
      <w:r w:rsidRPr="002F54B7">
        <w:t>Supporting 1Tx UE in NR</w:t>
      </w:r>
      <w:r w:rsidR="005F3025" w:rsidRPr="00CE0424">
        <w:t xml:space="preserve">, </w:t>
      </w:r>
      <w:r>
        <w:t>Nokia, Nokia Shanghai-Bell, Meeting, RAN2#99, Berlin, August 2017.</w:t>
      </w:r>
    </w:p>
    <w:bookmarkEnd w:id="19"/>
    <w:bookmarkEnd w:id="20"/>
    <w:p w14:paraId="60BF2CAD"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3C8D0" w14:textId="77777777" w:rsidR="00FF71EB" w:rsidRDefault="00FF71EB">
      <w:r>
        <w:separator/>
      </w:r>
    </w:p>
  </w:endnote>
  <w:endnote w:type="continuationSeparator" w:id="0">
    <w:p w14:paraId="2BCF0881" w14:textId="77777777" w:rsidR="00FF71EB" w:rsidRDefault="00FF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27948" w14:textId="015E928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4AC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4AC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320F5" w14:textId="77777777" w:rsidR="00FF71EB" w:rsidRDefault="00FF71EB">
      <w:r>
        <w:separator/>
      </w:r>
    </w:p>
  </w:footnote>
  <w:footnote w:type="continuationSeparator" w:id="0">
    <w:p w14:paraId="23EE61D7" w14:textId="77777777" w:rsidR="00FF71EB" w:rsidRDefault="00FF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E0B1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C222EF"/>
    <w:multiLevelType w:val="hybridMultilevel"/>
    <w:tmpl w:val="F6EED48E"/>
    <w:lvl w:ilvl="0" w:tplc="7D6E7FE4">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E36368"/>
    <w:multiLevelType w:val="hybridMultilevel"/>
    <w:tmpl w:val="82EC11E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8712E"/>
    <w:multiLevelType w:val="hybridMultilevel"/>
    <w:tmpl w:val="39A000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cs="Times New Roman" w:hint="default"/>
      </w:rPr>
    </w:lvl>
    <w:lvl w:ilvl="1" w:tplc="426A684E">
      <w:numFmt w:val="bullet"/>
      <w:lvlText w:val="–"/>
      <w:lvlJc w:val="left"/>
      <w:pPr>
        <w:tabs>
          <w:tab w:val="num" w:pos="1440"/>
        </w:tabs>
        <w:ind w:left="1440" w:hanging="360"/>
      </w:pPr>
      <w:rPr>
        <w:rFonts w:ascii="Arial" w:hAnsi="Arial" w:cs="Times New Roman" w:hint="default"/>
      </w:rPr>
    </w:lvl>
    <w:lvl w:ilvl="2" w:tplc="FB9EA6DC">
      <w:numFmt w:val="bullet"/>
      <w:lvlText w:val="•"/>
      <w:lvlJc w:val="left"/>
      <w:pPr>
        <w:tabs>
          <w:tab w:val="num" w:pos="2160"/>
        </w:tabs>
        <w:ind w:left="2160" w:hanging="360"/>
      </w:pPr>
      <w:rPr>
        <w:rFonts w:ascii="Arial" w:hAnsi="Arial" w:cs="Times New Roman" w:hint="default"/>
      </w:rPr>
    </w:lvl>
    <w:lvl w:ilvl="3" w:tplc="DF30B5D0">
      <w:numFmt w:val="bullet"/>
      <w:lvlText w:val="–"/>
      <w:lvlJc w:val="left"/>
      <w:pPr>
        <w:tabs>
          <w:tab w:val="num" w:pos="2880"/>
        </w:tabs>
        <w:ind w:left="2880" w:hanging="360"/>
      </w:pPr>
      <w:rPr>
        <w:rFonts w:ascii="Arial" w:hAnsi="Arial" w:cs="Times New Roman" w:hint="default"/>
      </w:rPr>
    </w:lvl>
    <w:lvl w:ilvl="4" w:tplc="9E3E45FA">
      <w:start w:val="1"/>
      <w:numFmt w:val="bullet"/>
      <w:lvlText w:val="•"/>
      <w:lvlJc w:val="left"/>
      <w:pPr>
        <w:tabs>
          <w:tab w:val="num" w:pos="3600"/>
        </w:tabs>
        <w:ind w:left="3600" w:hanging="360"/>
      </w:pPr>
      <w:rPr>
        <w:rFonts w:ascii="Arial" w:hAnsi="Arial" w:cs="Times New Roman" w:hint="default"/>
      </w:rPr>
    </w:lvl>
    <w:lvl w:ilvl="5" w:tplc="17FA4FF8">
      <w:start w:val="1"/>
      <w:numFmt w:val="bullet"/>
      <w:lvlText w:val="•"/>
      <w:lvlJc w:val="left"/>
      <w:pPr>
        <w:tabs>
          <w:tab w:val="num" w:pos="4320"/>
        </w:tabs>
        <w:ind w:left="4320" w:hanging="360"/>
      </w:pPr>
      <w:rPr>
        <w:rFonts w:ascii="Arial" w:hAnsi="Arial" w:cs="Times New Roman" w:hint="default"/>
      </w:rPr>
    </w:lvl>
    <w:lvl w:ilvl="6" w:tplc="48707FE0">
      <w:start w:val="1"/>
      <w:numFmt w:val="bullet"/>
      <w:lvlText w:val="•"/>
      <w:lvlJc w:val="left"/>
      <w:pPr>
        <w:tabs>
          <w:tab w:val="num" w:pos="5040"/>
        </w:tabs>
        <w:ind w:left="5040" w:hanging="360"/>
      </w:pPr>
      <w:rPr>
        <w:rFonts w:ascii="Arial" w:hAnsi="Arial" w:cs="Times New Roman" w:hint="default"/>
      </w:rPr>
    </w:lvl>
    <w:lvl w:ilvl="7" w:tplc="3368A52A">
      <w:start w:val="1"/>
      <w:numFmt w:val="bullet"/>
      <w:lvlText w:val="•"/>
      <w:lvlJc w:val="left"/>
      <w:pPr>
        <w:tabs>
          <w:tab w:val="num" w:pos="5760"/>
        </w:tabs>
        <w:ind w:left="5760" w:hanging="360"/>
      </w:pPr>
      <w:rPr>
        <w:rFonts w:ascii="Arial" w:hAnsi="Arial" w:cs="Times New Roman" w:hint="default"/>
      </w:rPr>
    </w:lvl>
    <w:lvl w:ilvl="8" w:tplc="D994AAA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A058CB"/>
    <w:multiLevelType w:val="hybridMultilevel"/>
    <w:tmpl w:val="6A4664C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5"/>
  </w:num>
  <w:num w:numId="3">
    <w:abstractNumId w:val="9"/>
  </w:num>
  <w:num w:numId="4">
    <w:abstractNumId w:val="10"/>
  </w:num>
  <w:num w:numId="5">
    <w:abstractNumId w:val="7"/>
  </w:num>
  <w:num w:numId="6">
    <w:abstractNumId w:val="12"/>
  </w:num>
  <w:num w:numId="7">
    <w:abstractNumId w:val="18"/>
  </w:num>
  <w:num w:numId="8">
    <w:abstractNumId w:val="8"/>
  </w:num>
  <w:num w:numId="9">
    <w:abstractNumId w:val="6"/>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3"/>
  </w:num>
  <w:num w:numId="17">
    <w:abstractNumId w:val="16"/>
  </w:num>
  <w:num w:numId="18">
    <w:abstractNumId w:val="11"/>
  </w:num>
  <w:num w:numId="19">
    <w:abstractNumId w:val="14"/>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187"/>
    <w:rsid w:val="000006E1"/>
    <w:rsid w:val="00002A37"/>
    <w:rsid w:val="000039F4"/>
    <w:rsid w:val="00006446"/>
    <w:rsid w:val="00006896"/>
    <w:rsid w:val="00007CDC"/>
    <w:rsid w:val="00011B28"/>
    <w:rsid w:val="00015D15"/>
    <w:rsid w:val="0002564D"/>
    <w:rsid w:val="00025ECA"/>
    <w:rsid w:val="000325B8"/>
    <w:rsid w:val="00033BFF"/>
    <w:rsid w:val="00034C15"/>
    <w:rsid w:val="00036BA1"/>
    <w:rsid w:val="00040B12"/>
    <w:rsid w:val="000422E2"/>
    <w:rsid w:val="00042F22"/>
    <w:rsid w:val="000444EF"/>
    <w:rsid w:val="00047D87"/>
    <w:rsid w:val="00052A07"/>
    <w:rsid w:val="000534E3"/>
    <w:rsid w:val="0005606A"/>
    <w:rsid w:val="00057117"/>
    <w:rsid w:val="00061651"/>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4A4"/>
    <w:rsid w:val="001E7AED"/>
    <w:rsid w:val="001F3916"/>
    <w:rsid w:val="001F54C5"/>
    <w:rsid w:val="001F662C"/>
    <w:rsid w:val="001F7074"/>
    <w:rsid w:val="001F7CBD"/>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187"/>
    <w:rsid w:val="002A055E"/>
    <w:rsid w:val="002A1D4E"/>
    <w:rsid w:val="002A2869"/>
    <w:rsid w:val="002B24D6"/>
    <w:rsid w:val="002C41E6"/>
    <w:rsid w:val="002D071A"/>
    <w:rsid w:val="002D34B2"/>
    <w:rsid w:val="002D7637"/>
    <w:rsid w:val="002E17F2"/>
    <w:rsid w:val="002E7CAE"/>
    <w:rsid w:val="002F2771"/>
    <w:rsid w:val="002F37A9"/>
    <w:rsid w:val="002F54B7"/>
    <w:rsid w:val="00301CE6"/>
    <w:rsid w:val="0030256B"/>
    <w:rsid w:val="0030501F"/>
    <w:rsid w:val="00307220"/>
    <w:rsid w:val="00307BA1"/>
    <w:rsid w:val="00311702"/>
    <w:rsid w:val="00311E82"/>
    <w:rsid w:val="00313FD6"/>
    <w:rsid w:val="003143BD"/>
    <w:rsid w:val="003203ED"/>
    <w:rsid w:val="00322C9F"/>
    <w:rsid w:val="00324D23"/>
    <w:rsid w:val="00331751"/>
    <w:rsid w:val="003338FE"/>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A5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090B"/>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853"/>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ED7"/>
    <w:rsid w:val="00630001"/>
    <w:rsid w:val="006311B3"/>
    <w:rsid w:val="00631CA0"/>
    <w:rsid w:val="0063284C"/>
    <w:rsid w:val="00633BB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575F1"/>
    <w:rsid w:val="008677FD"/>
    <w:rsid w:val="008679CF"/>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CB"/>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DB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ACE"/>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B61"/>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FDB"/>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B8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DD2"/>
    <w:rsid w:val="00F2376F"/>
    <w:rsid w:val="00F243D8"/>
    <w:rsid w:val="00F30828"/>
    <w:rsid w:val="00F313D6"/>
    <w:rsid w:val="00F40F0C"/>
    <w:rsid w:val="00F41A3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0BC1F"/>
  <w15:chartTrackingRefBased/>
  <w15:docId w15:val="{3BCF393B-9E0C-4E2D-89CB-1642D9B3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4AC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C4A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C4AC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C4ACE"/>
    <w:pPr>
      <w:numPr>
        <w:ilvl w:val="2"/>
      </w:numPr>
      <w:spacing w:before="120"/>
      <w:outlineLvl w:val="2"/>
    </w:pPr>
    <w:rPr>
      <w:sz w:val="28"/>
      <w:szCs w:val="28"/>
    </w:rPr>
  </w:style>
  <w:style w:type="paragraph" w:styleId="Heading4">
    <w:name w:val="heading 4"/>
    <w:basedOn w:val="Heading3"/>
    <w:next w:val="Normal"/>
    <w:qFormat/>
    <w:rsid w:val="00AC4ACE"/>
    <w:pPr>
      <w:numPr>
        <w:ilvl w:val="3"/>
      </w:numPr>
      <w:outlineLvl w:val="3"/>
    </w:pPr>
    <w:rPr>
      <w:sz w:val="24"/>
      <w:szCs w:val="24"/>
    </w:rPr>
  </w:style>
  <w:style w:type="paragraph" w:styleId="Heading5">
    <w:name w:val="heading 5"/>
    <w:basedOn w:val="Heading4"/>
    <w:next w:val="Normal"/>
    <w:qFormat/>
    <w:rsid w:val="00AC4ACE"/>
    <w:pPr>
      <w:numPr>
        <w:ilvl w:val="4"/>
      </w:numPr>
      <w:outlineLvl w:val="4"/>
    </w:pPr>
    <w:rPr>
      <w:sz w:val="22"/>
      <w:szCs w:val="22"/>
    </w:rPr>
  </w:style>
  <w:style w:type="paragraph" w:styleId="Heading6">
    <w:name w:val="heading 6"/>
    <w:basedOn w:val="Normal"/>
    <w:next w:val="Normal"/>
    <w:qFormat/>
    <w:rsid w:val="00AC4ACE"/>
    <w:pPr>
      <w:keepNext/>
      <w:keepLines/>
      <w:numPr>
        <w:ilvl w:val="5"/>
        <w:numId w:val="1"/>
      </w:numPr>
      <w:spacing w:before="120"/>
      <w:outlineLvl w:val="5"/>
    </w:pPr>
    <w:rPr>
      <w:rFonts w:cs="Arial"/>
    </w:rPr>
  </w:style>
  <w:style w:type="paragraph" w:styleId="Heading7">
    <w:name w:val="heading 7"/>
    <w:basedOn w:val="Normal"/>
    <w:next w:val="Normal"/>
    <w:qFormat/>
    <w:rsid w:val="00AC4ACE"/>
    <w:pPr>
      <w:keepNext/>
      <w:keepLines/>
      <w:numPr>
        <w:ilvl w:val="6"/>
        <w:numId w:val="1"/>
      </w:numPr>
      <w:spacing w:before="120"/>
      <w:outlineLvl w:val="6"/>
    </w:pPr>
    <w:rPr>
      <w:rFonts w:cs="Arial"/>
    </w:rPr>
  </w:style>
  <w:style w:type="paragraph" w:styleId="Heading8">
    <w:name w:val="heading 8"/>
    <w:basedOn w:val="Heading7"/>
    <w:next w:val="Normal"/>
    <w:qFormat/>
    <w:rsid w:val="00AC4ACE"/>
    <w:pPr>
      <w:numPr>
        <w:ilvl w:val="7"/>
      </w:numPr>
      <w:outlineLvl w:val="7"/>
    </w:pPr>
  </w:style>
  <w:style w:type="paragraph" w:styleId="Heading9">
    <w:name w:val="heading 9"/>
    <w:basedOn w:val="Heading8"/>
    <w:next w:val="Normal"/>
    <w:qFormat/>
    <w:rsid w:val="00AC4ACE"/>
    <w:pPr>
      <w:numPr>
        <w:ilvl w:val="8"/>
      </w:numPr>
      <w:outlineLvl w:val="8"/>
    </w:pPr>
  </w:style>
  <w:style w:type="character" w:default="1" w:styleId="DefaultParagraphFont">
    <w:name w:val="Default Paragraph Font"/>
    <w:uiPriority w:val="1"/>
    <w:semiHidden/>
    <w:unhideWhenUsed/>
    <w:rsid w:val="00AC4A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ACE"/>
  </w:style>
  <w:style w:type="paragraph" w:styleId="TOC8">
    <w:name w:val="toc 8"/>
    <w:basedOn w:val="TOC1"/>
    <w:semiHidden/>
    <w:rsid w:val="00AC4ACE"/>
    <w:pPr>
      <w:spacing w:before="180"/>
      <w:ind w:left="2693" w:hanging="2693"/>
    </w:pPr>
    <w:rPr>
      <w:b w:val="0"/>
      <w:bCs/>
    </w:rPr>
  </w:style>
  <w:style w:type="paragraph" w:styleId="TOC1">
    <w:name w:val="toc 1"/>
    <w:aliases w:val="Observation TOC2"/>
    <w:uiPriority w:val="39"/>
    <w:rsid w:val="00AC4AC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C4ACE"/>
    <w:pPr>
      <w:keepNext/>
      <w:keepLines/>
      <w:spacing w:before="180"/>
      <w:jc w:val="center"/>
    </w:pPr>
  </w:style>
  <w:style w:type="paragraph" w:styleId="Caption">
    <w:name w:val="caption"/>
    <w:basedOn w:val="Normal"/>
    <w:next w:val="Normal"/>
    <w:qFormat/>
    <w:rsid w:val="00AC4ACE"/>
    <w:pPr>
      <w:spacing w:after="240"/>
      <w:jc w:val="center"/>
    </w:pPr>
    <w:rPr>
      <w:b/>
      <w:bCs/>
    </w:rPr>
  </w:style>
  <w:style w:type="paragraph" w:styleId="TOC5">
    <w:name w:val="toc 5"/>
    <w:aliases w:val="Observation TOC"/>
    <w:basedOn w:val="TOC4"/>
    <w:semiHidden/>
    <w:rsid w:val="00AC4ACE"/>
    <w:pPr>
      <w:tabs>
        <w:tab w:val="right" w:pos="1701"/>
      </w:tabs>
      <w:ind w:left="1701" w:hanging="1701"/>
    </w:pPr>
  </w:style>
  <w:style w:type="paragraph" w:styleId="TOC4">
    <w:name w:val="toc 4"/>
    <w:basedOn w:val="TOC3"/>
    <w:semiHidden/>
    <w:rsid w:val="00AC4ACE"/>
    <w:pPr>
      <w:ind w:left="1418" w:hanging="1418"/>
    </w:pPr>
  </w:style>
  <w:style w:type="paragraph" w:styleId="TOC3">
    <w:name w:val="toc 3"/>
    <w:basedOn w:val="TOC2"/>
    <w:semiHidden/>
    <w:rsid w:val="00AC4ACE"/>
    <w:pPr>
      <w:ind w:left="1134" w:hanging="1134"/>
    </w:pPr>
  </w:style>
  <w:style w:type="paragraph" w:styleId="TOC2">
    <w:name w:val="toc 2"/>
    <w:basedOn w:val="TOC1"/>
    <w:semiHidden/>
    <w:rsid w:val="00AC4ACE"/>
    <w:pPr>
      <w:keepNext w:val="0"/>
      <w:spacing w:before="0"/>
      <w:ind w:left="851" w:hanging="851"/>
    </w:pPr>
    <w:rPr>
      <w:szCs w:val="20"/>
    </w:rPr>
  </w:style>
  <w:style w:type="paragraph" w:styleId="Index2">
    <w:name w:val="index 2"/>
    <w:basedOn w:val="Index1"/>
    <w:semiHidden/>
    <w:rsid w:val="00AC4ACE"/>
    <w:pPr>
      <w:ind w:left="284"/>
    </w:pPr>
  </w:style>
  <w:style w:type="paragraph" w:styleId="Index1">
    <w:name w:val="index 1"/>
    <w:basedOn w:val="Normal"/>
    <w:semiHidden/>
    <w:rsid w:val="00AC4ACE"/>
    <w:pPr>
      <w:keepLines/>
      <w:spacing w:after="0"/>
    </w:pPr>
  </w:style>
  <w:style w:type="paragraph" w:styleId="DocumentMap">
    <w:name w:val="Document Map"/>
    <w:basedOn w:val="Normal"/>
    <w:semiHidden/>
    <w:rsid w:val="00AC4ACE"/>
    <w:pPr>
      <w:shd w:val="clear" w:color="auto" w:fill="000080"/>
    </w:pPr>
    <w:rPr>
      <w:rFonts w:ascii="Tahoma" w:hAnsi="Tahoma" w:cs="Tahoma"/>
    </w:rPr>
  </w:style>
  <w:style w:type="paragraph" w:styleId="ListNumber2">
    <w:name w:val="List Number 2"/>
    <w:basedOn w:val="ListNumber"/>
    <w:rsid w:val="00AC4ACE"/>
    <w:pPr>
      <w:ind w:left="851"/>
    </w:pPr>
  </w:style>
  <w:style w:type="paragraph" w:styleId="ListNumber">
    <w:name w:val="List Number"/>
    <w:basedOn w:val="List"/>
    <w:rsid w:val="00AC4ACE"/>
  </w:style>
  <w:style w:type="paragraph" w:styleId="List">
    <w:name w:val="List"/>
    <w:basedOn w:val="Normal"/>
    <w:rsid w:val="00AC4ACE"/>
    <w:pPr>
      <w:ind w:left="568" w:hanging="284"/>
    </w:pPr>
  </w:style>
  <w:style w:type="paragraph" w:styleId="Header">
    <w:name w:val="header"/>
    <w:rsid w:val="00AC4AC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4ACE"/>
    <w:rPr>
      <w:b/>
      <w:bCs/>
      <w:position w:val="6"/>
      <w:sz w:val="16"/>
      <w:szCs w:val="16"/>
    </w:rPr>
  </w:style>
  <w:style w:type="paragraph" w:styleId="FootnoteText">
    <w:name w:val="footnote text"/>
    <w:basedOn w:val="Normal"/>
    <w:semiHidden/>
    <w:rsid w:val="00AC4ACE"/>
    <w:pPr>
      <w:keepLines/>
      <w:spacing w:after="0"/>
      <w:ind w:left="454" w:hanging="454"/>
    </w:pPr>
    <w:rPr>
      <w:sz w:val="16"/>
      <w:szCs w:val="16"/>
    </w:rPr>
  </w:style>
  <w:style w:type="paragraph" w:customStyle="1" w:styleId="3GPPHeader">
    <w:name w:val="3GPP_Header"/>
    <w:basedOn w:val="Normal"/>
    <w:rsid w:val="00AC4ACE"/>
    <w:pPr>
      <w:tabs>
        <w:tab w:val="left" w:pos="1701"/>
        <w:tab w:val="right" w:pos="9639"/>
      </w:tabs>
      <w:spacing w:after="240"/>
    </w:pPr>
    <w:rPr>
      <w:b/>
      <w:sz w:val="24"/>
    </w:rPr>
  </w:style>
  <w:style w:type="paragraph" w:styleId="TOC9">
    <w:name w:val="toc 9"/>
    <w:basedOn w:val="TOC8"/>
    <w:semiHidden/>
    <w:rsid w:val="00AC4ACE"/>
    <w:pPr>
      <w:ind w:left="1418" w:hanging="1418"/>
    </w:pPr>
  </w:style>
  <w:style w:type="paragraph" w:styleId="TOC6">
    <w:name w:val="toc 6"/>
    <w:basedOn w:val="TOC5"/>
    <w:next w:val="Normal"/>
    <w:semiHidden/>
    <w:rsid w:val="00AC4ACE"/>
    <w:pPr>
      <w:ind w:left="1985" w:hanging="1985"/>
    </w:pPr>
  </w:style>
  <w:style w:type="paragraph" w:styleId="TOC7">
    <w:name w:val="toc 7"/>
    <w:basedOn w:val="TOC6"/>
    <w:next w:val="Normal"/>
    <w:semiHidden/>
    <w:rsid w:val="00AC4ACE"/>
    <w:pPr>
      <w:ind w:left="2268" w:hanging="2268"/>
    </w:pPr>
  </w:style>
  <w:style w:type="paragraph" w:styleId="ListBullet2">
    <w:name w:val="List Bullet 2"/>
    <w:basedOn w:val="ListBullet"/>
    <w:rsid w:val="00AC4ACE"/>
    <w:pPr>
      <w:numPr>
        <w:numId w:val="6"/>
      </w:numPr>
    </w:pPr>
  </w:style>
  <w:style w:type="paragraph" w:styleId="ListBullet">
    <w:name w:val="List Bullet"/>
    <w:basedOn w:val="BodyText"/>
    <w:rsid w:val="00AC4ACE"/>
    <w:pPr>
      <w:numPr>
        <w:numId w:val="5"/>
      </w:numPr>
    </w:pPr>
  </w:style>
  <w:style w:type="paragraph" w:styleId="ListBullet3">
    <w:name w:val="List Bullet 3"/>
    <w:basedOn w:val="ListBullet2"/>
    <w:rsid w:val="00AC4ACE"/>
    <w:pPr>
      <w:numPr>
        <w:numId w:val="7"/>
      </w:numPr>
    </w:pPr>
  </w:style>
  <w:style w:type="paragraph" w:customStyle="1" w:styleId="EQ">
    <w:name w:val="EQ"/>
    <w:basedOn w:val="Normal"/>
    <w:next w:val="Normal"/>
    <w:rsid w:val="00AC4ACE"/>
    <w:pPr>
      <w:keepLines/>
      <w:tabs>
        <w:tab w:val="center" w:pos="4536"/>
        <w:tab w:val="right" w:pos="9072"/>
      </w:tabs>
      <w:spacing w:after="180"/>
      <w:jc w:val="left"/>
    </w:pPr>
    <w:rPr>
      <w:noProof/>
      <w:lang w:eastAsia="en-US"/>
    </w:rPr>
  </w:style>
  <w:style w:type="paragraph" w:styleId="List2">
    <w:name w:val="List 2"/>
    <w:basedOn w:val="List"/>
    <w:rsid w:val="00AC4ACE"/>
    <w:pPr>
      <w:ind w:left="851"/>
    </w:pPr>
  </w:style>
  <w:style w:type="paragraph" w:styleId="List3">
    <w:name w:val="List 3"/>
    <w:basedOn w:val="List2"/>
    <w:rsid w:val="00AC4ACE"/>
    <w:pPr>
      <w:ind w:left="1135"/>
    </w:pPr>
  </w:style>
  <w:style w:type="paragraph" w:styleId="List4">
    <w:name w:val="List 4"/>
    <w:basedOn w:val="List3"/>
    <w:rsid w:val="00AC4ACE"/>
    <w:pPr>
      <w:ind w:left="1418"/>
    </w:pPr>
  </w:style>
  <w:style w:type="paragraph" w:styleId="List5">
    <w:name w:val="List 5"/>
    <w:basedOn w:val="List4"/>
    <w:rsid w:val="00AC4ACE"/>
    <w:pPr>
      <w:ind w:left="1702"/>
    </w:pPr>
  </w:style>
  <w:style w:type="paragraph" w:customStyle="1" w:styleId="EditorsNote">
    <w:name w:val="Editor's Note"/>
    <w:basedOn w:val="Normal"/>
    <w:rsid w:val="00AC4ACE"/>
    <w:pPr>
      <w:keepLines/>
      <w:spacing w:after="180"/>
      <w:ind w:left="1135" w:hanging="851"/>
      <w:jc w:val="left"/>
    </w:pPr>
    <w:rPr>
      <w:color w:val="FF0000"/>
      <w:lang w:eastAsia="en-US"/>
    </w:rPr>
  </w:style>
  <w:style w:type="paragraph" w:styleId="ListBullet4">
    <w:name w:val="List Bullet 4"/>
    <w:basedOn w:val="ListBullet3"/>
    <w:rsid w:val="00AC4ACE"/>
    <w:pPr>
      <w:numPr>
        <w:numId w:val="8"/>
      </w:numPr>
    </w:pPr>
  </w:style>
  <w:style w:type="paragraph" w:styleId="ListBullet5">
    <w:name w:val="List Bullet 5"/>
    <w:basedOn w:val="ListBullet4"/>
    <w:rsid w:val="00AC4ACE"/>
    <w:pPr>
      <w:numPr>
        <w:numId w:val="4"/>
      </w:numPr>
    </w:pPr>
  </w:style>
  <w:style w:type="paragraph" w:styleId="Footer">
    <w:name w:val="footer"/>
    <w:basedOn w:val="Header"/>
    <w:semiHidden/>
    <w:rsid w:val="00AC4ACE"/>
    <w:pPr>
      <w:jc w:val="center"/>
    </w:pPr>
    <w:rPr>
      <w:i/>
      <w:iCs/>
    </w:rPr>
  </w:style>
  <w:style w:type="paragraph" w:customStyle="1" w:styleId="Reference">
    <w:name w:val="Reference"/>
    <w:basedOn w:val="Normal"/>
    <w:rsid w:val="00AC4ACE"/>
    <w:pPr>
      <w:numPr>
        <w:numId w:val="2"/>
      </w:numPr>
    </w:pPr>
  </w:style>
  <w:style w:type="paragraph" w:styleId="BalloonText">
    <w:name w:val="Balloon Text"/>
    <w:basedOn w:val="Normal"/>
    <w:semiHidden/>
    <w:rsid w:val="00AC4ACE"/>
    <w:rPr>
      <w:rFonts w:ascii="Tahoma" w:hAnsi="Tahoma" w:cs="Tahoma"/>
      <w:sz w:val="16"/>
      <w:szCs w:val="16"/>
    </w:rPr>
  </w:style>
  <w:style w:type="character" w:styleId="PageNumber">
    <w:name w:val="page number"/>
    <w:basedOn w:val="DefaultParagraphFont"/>
    <w:semiHidden/>
    <w:rsid w:val="00AC4ACE"/>
  </w:style>
  <w:style w:type="paragraph" w:styleId="BodyText">
    <w:name w:val="Body Text"/>
    <w:basedOn w:val="Normal"/>
    <w:link w:val="BodyTextChar"/>
    <w:rsid w:val="00AC4ACE"/>
  </w:style>
  <w:style w:type="character" w:styleId="Hyperlink">
    <w:name w:val="Hyperlink"/>
    <w:uiPriority w:val="99"/>
    <w:rsid w:val="00AC4ACE"/>
    <w:rPr>
      <w:color w:val="0000FF"/>
      <w:u w:val="single"/>
      <w:lang w:val="en-GB"/>
    </w:rPr>
  </w:style>
  <w:style w:type="character" w:styleId="FollowedHyperlink">
    <w:name w:val="FollowedHyperlink"/>
    <w:semiHidden/>
    <w:rsid w:val="00AC4ACE"/>
    <w:rPr>
      <w:color w:val="FF0000"/>
      <w:u w:val="single"/>
    </w:rPr>
  </w:style>
  <w:style w:type="character" w:styleId="CommentReference">
    <w:name w:val="annotation reference"/>
    <w:semiHidden/>
    <w:rsid w:val="00AC4ACE"/>
    <w:rPr>
      <w:sz w:val="16"/>
      <w:szCs w:val="16"/>
    </w:rPr>
  </w:style>
  <w:style w:type="paragraph" w:styleId="CommentText">
    <w:name w:val="annotation text"/>
    <w:basedOn w:val="Normal"/>
    <w:semiHidden/>
    <w:rsid w:val="00AC4ACE"/>
  </w:style>
  <w:style w:type="paragraph" w:styleId="CommentSubject">
    <w:name w:val="annotation subject"/>
    <w:basedOn w:val="CommentText"/>
    <w:next w:val="CommentText"/>
    <w:semiHidden/>
    <w:rsid w:val="00AC4ACE"/>
    <w:rPr>
      <w:b/>
      <w:bCs/>
    </w:rPr>
  </w:style>
  <w:style w:type="character" w:customStyle="1" w:styleId="Heading1Char">
    <w:name w:val="Heading 1 Char"/>
    <w:link w:val="Heading1"/>
    <w:rsid w:val="00AC4ACE"/>
    <w:rPr>
      <w:rFonts w:ascii="Arial" w:hAnsi="Arial" w:cs="Arial"/>
      <w:sz w:val="36"/>
      <w:szCs w:val="36"/>
      <w:lang w:val="en-GB" w:eastAsia="zh-CN"/>
    </w:rPr>
  </w:style>
  <w:style w:type="paragraph" w:customStyle="1" w:styleId="B1">
    <w:name w:val="B1"/>
    <w:basedOn w:val="List"/>
    <w:rsid w:val="00AC4ACE"/>
    <w:pPr>
      <w:spacing w:after="180"/>
      <w:jc w:val="left"/>
    </w:pPr>
    <w:rPr>
      <w:lang w:eastAsia="en-US"/>
    </w:rPr>
  </w:style>
  <w:style w:type="paragraph" w:customStyle="1" w:styleId="B2">
    <w:name w:val="B2"/>
    <w:basedOn w:val="List2"/>
    <w:rsid w:val="00AC4ACE"/>
    <w:pPr>
      <w:spacing w:after="180"/>
      <w:jc w:val="left"/>
    </w:pPr>
    <w:rPr>
      <w:lang w:eastAsia="en-US"/>
    </w:rPr>
  </w:style>
  <w:style w:type="paragraph" w:customStyle="1" w:styleId="B3">
    <w:name w:val="B3"/>
    <w:basedOn w:val="List3"/>
    <w:rsid w:val="00AC4ACE"/>
    <w:pPr>
      <w:spacing w:after="180"/>
      <w:jc w:val="left"/>
    </w:pPr>
    <w:rPr>
      <w:lang w:eastAsia="en-US"/>
    </w:rPr>
  </w:style>
  <w:style w:type="paragraph" w:customStyle="1" w:styleId="B4">
    <w:name w:val="B4"/>
    <w:basedOn w:val="List4"/>
    <w:rsid w:val="00AC4ACE"/>
    <w:pPr>
      <w:spacing w:after="180"/>
      <w:jc w:val="left"/>
    </w:pPr>
    <w:rPr>
      <w:lang w:eastAsia="en-US"/>
    </w:rPr>
  </w:style>
  <w:style w:type="paragraph" w:customStyle="1" w:styleId="Proposal">
    <w:name w:val="Proposal"/>
    <w:basedOn w:val="Normal"/>
    <w:rsid w:val="00AC4ACE"/>
    <w:pPr>
      <w:numPr>
        <w:numId w:val="3"/>
      </w:numPr>
      <w:tabs>
        <w:tab w:val="clear" w:pos="1304"/>
        <w:tab w:val="left" w:pos="1701"/>
      </w:tabs>
      <w:ind w:left="1701" w:hanging="1701"/>
    </w:pPr>
    <w:rPr>
      <w:b/>
      <w:bCs/>
    </w:rPr>
  </w:style>
  <w:style w:type="character" w:customStyle="1" w:styleId="BodyTextChar">
    <w:name w:val="Body Text Char"/>
    <w:link w:val="BodyText"/>
    <w:rsid w:val="00AC4ACE"/>
    <w:rPr>
      <w:rFonts w:ascii="Arial" w:hAnsi="Arial"/>
      <w:lang w:val="en-GB" w:eastAsia="zh-CN"/>
    </w:rPr>
  </w:style>
  <w:style w:type="paragraph" w:customStyle="1" w:styleId="B5">
    <w:name w:val="B5"/>
    <w:basedOn w:val="List5"/>
    <w:rsid w:val="00AC4ACE"/>
    <w:pPr>
      <w:spacing w:after="180"/>
      <w:jc w:val="left"/>
    </w:pPr>
    <w:rPr>
      <w:lang w:eastAsia="en-US"/>
    </w:rPr>
  </w:style>
  <w:style w:type="paragraph" w:customStyle="1" w:styleId="EX">
    <w:name w:val="EX"/>
    <w:basedOn w:val="Normal"/>
    <w:rsid w:val="00AC4ACE"/>
    <w:pPr>
      <w:keepLines/>
      <w:spacing w:after="180"/>
      <w:ind w:left="1702" w:hanging="1418"/>
      <w:jc w:val="left"/>
    </w:pPr>
    <w:rPr>
      <w:lang w:eastAsia="en-US"/>
    </w:rPr>
  </w:style>
  <w:style w:type="paragraph" w:customStyle="1" w:styleId="EW">
    <w:name w:val="EW"/>
    <w:basedOn w:val="EX"/>
    <w:rsid w:val="00AC4ACE"/>
    <w:pPr>
      <w:spacing w:after="0"/>
    </w:pPr>
  </w:style>
  <w:style w:type="paragraph" w:customStyle="1" w:styleId="TAL">
    <w:name w:val="TAL"/>
    <w:basedOn w:val="Normal"/>
    <w:rsid w:val="00AC4ACE"/>
    <w:pPr>
      <w:keepNext/>
      <w:keepLines/>
      <w:spacing w:after="0"/>
      <w:jc w:val="left"/>
    </w:pPr>
    <w:rPr>
      <w:sz w:val="18"/>
      <w:lang w:eastAsia="en-US"/>
    </w:rPr>
  </w:style>
  <w:style w:type="paragraph" w:customStyle="1" w:styleId="TAC">
    <w:name w:val="TAC"/>
    <w:basedOn w:val="TAL"/>
    <w:rsid w:val="00AC4ACE"/>
    <w:pPr>
      <w:jc w:val="center"/>
    </w:pPr>
  </w:style>
  <w:style w:type="paragraph" w:customStyle="1" w:styleId="TAH">
    <w:name w:val="TAH"/>
    <w:basedOn w:val="TAC"/>
    <w:rsid w:val="00AC4ACE"/>
    <w:rPr>
      <w:b/>
    </w:rPr>
  </w:style>
  <w:style w:type="paragraph" w:customStyle="1" w:styleId="TAN">
    <w:name w:val="TAN"/>
    <w:basedOn w:val="TAL"/>
    <w:rsid w:val="00AC4ACE"/>
    <w:pPr>
      <w:ind w:left="851" w:hanging="851"/>
    </w:pPr>
  </w:style>
  <w:style w:type="paragraph" w:customStyle="1" w:styleId="TAR">
    <w:name w:val="TAR"/>
    <w:basedOn w:val="TAL"/>
    <w:rsid w:val="00AC4ACE"/>
    <w:pPr>
      <w:jc w:val="right"/>
    </w:pPr>
  </w:style>
  <w:style w:type="paragraph" w:customStyle="1" w:styleId="TH">
    <w:name w:val="TH"/>
    <w:basedOn w:val="Normal"/>
    <w:rsid w:val="00AC4ACE"/>
    <w:pPr>
      <w:keepNext/>
      <w:keepLines/>
      <w:spacing w:before="60" w:after="180"/>
      <w:jc w:val="center"/>
    </w:pPr>
    <w:rPr>
      <w:b/>
      <w:lang w:eastAsia="en-US"/>
    </w:rPr>
  </w:style>
  <w:style w:type="paragraph" w:customStyle="1" w:styleId="TF">
    <w:name w:val="TF"/>
    <w:basedOn w:val="TH"/>
    <w:rsid w:val="00AC4ACE"/>
    <w:pPr>
      <w:keepNext w:val="0"/>
      <w:spacing w:before="0" w:after="240"/>
    </w:pPr>
  </w:style>
  <w:style w:type="paragraph" w:customStyle="1" w:styleId="TT">
    <w:name w:val="TT"/>
    <w:basedOn w:val="Heading1"/>
    <w:next w:val="Normal"/>
    <w:rsid w:val="00AC4ACE"/>
    <w:pPr>
      <w:numPr>
        <w:numId w:val="0"/>
      </w:numPr>
      <w:ind w:left="1134" w:hanging="1134"/>
      <w:outlineLvl w:val="9"/>
    </w:pPr>
    <w:rPr>
      <w:rFonts w:cs="Times New Roman"/>
      <w:szCs w:val="20"/>
      <w:lang w:eastAsia="en-US"/>
    </w:rPr>
  </w:style>
  <w:style w:type="paragraph" w:customStyle="1" w:styleId="ZA">
    <w:name w:val="ZA"/>
    <w:rsid w:val="00AC4A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4A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4A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4A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4ACE"/>
  </w:style>
  <w:style w:type="paragraph" w:customStyle="1" w:styleId="ZH">
    <w:name w:val="ZH"/>
    <w:rsid w:val="00AC4A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4A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4ACE"/>
    <w:pPr>
      <w:framePr w:hRule="auto" w:wrap="notBeside" w:y="852"/>
    </w:pPr>
    <w:rPr>
      <w:i w:val="0"/>
      <w:sz w:val="40"/>
    </w:rPr>
  </w:style>
  <w:style w:type="paragraph" w:customStyle="1" w:styleId="ZU">
    <w:name w:val="ZU"/>
    <w:rsid w:val="00AC4A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4ACE"/>
    <w:pPr>
      <w:framePr w:wrap="notBeside" w:y="16161"/>
    </w:pPr>
  </w:style>
  <w:style w:type="paragraph" w:customStyle="1" w:styleId="FP">
    <w:name w:val="FP"/>
    <w:basedOn w:val="Normal"/>
    <w:rsid w:val="00AC4ACE"/>
    <w:pPr>
      <w:spacing w:after="0"/>
      <w:jc w:val="left"/>
    </w:pPr>
    <w:rPr>
      <w:lang w:eastAsia="en-US"/>
    </w:rPr>
  </w:style>
  <w:style w:type="paragraph" w:customStyle="1" w:styleId="Observation">
    <w:name w:val="Observation"/>
    <w:basedOn w:val="Proposal"/>
    <w:qFormat/>
    <w:rsid w:val="00AC4ACE"/>
    <w:pPr>
      <w:numPr>
        <w:numId w:val="13"/>
      </w:numPr>
      <w:ind w:left="1701" w:hanging="1701"/>
    </w:pPr>
  </w:style>
  <w:style w:type="paragraph" w:styleId="TableofFigures">
    <w:name w:val="table of figures"/>
    <w:basedOn w:val="Normal"/>
    <w:next w:val="Normal"/>
    <w:uiPriority w:val="99"/>
    <w:rsid w:val="00AC4ACE"/>
    <w:pPr>
      <w:ind w:left="1418" w:hanging="1418"/>
      <w:jc w:val="left"/>
    </w:pPr>
    <w:rPr>
      <w:b/>
    </w:rPr>
  </w:style>
  <w:style w:type="paragraph" w:customStyle="1" w:styleId="Doc-text2">
    <w:name w:val="Doc-text2"/>
    <w:basedOn w:val="Normal"/>
    <w:link w:val="Doc-text2Char"/>
    <w:qFormat/>
    <w:rsid w:val="00AC4A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C4ACE"/>
    <w:rPr>
      <w:rFonts w:ascii="Arial" w:eastAsia="MS Mincho" w:hAnsi="Arial"/>
      <w:szCs w:val="24"/>
      <w:lang w:val="en-GB" w:eastAsia="en-GB"/>
    </w:rPr>
  </w:style>
  <w:style w:type="paragraph" w:styleId="ListParagraph">
    <w:name w:val="List Paragraph"/>
    <w:basedOn w:val="Normal"/>
    <w:uiPriority w:val="34"/>
    <w:qFormat/>
    <w:rsid w:val="002A0187"/>
    <w:pPr>
      <w:ind w:left="720"/>
      <w:contextualSpacing/>
    </w:pPr>
  </w:style>
  <w:style w:type="paragraph" w:customStyle="1" w:styleId="PL">
    <w:name w:val="PL"/>
    <w:link w:val="PLChar"/>
    <w:rsid w:val="00061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PLChar">
    <w:name w:val="PL Char"/>
    <w:link w:val="PL"/>
    <w:rsid w:val="00061651"/>
    <w:rPr>
      <w:rFonts w:ascii="Courier New" w:hAnsi="Courier New"/>
      <w:noProof/>
      <w:sz w:val="16"/>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5321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5NUHHDQN7SK2-1-182457</_dlc_DocId>
    <_dlc_DocIdUrl xmlns="08b2df90-05d3-4030-90d4-c9feeb4a1cd9">
      <Url>https://ericoll.internal.ericsson.com/sites/star/_layouts/DocIdRedir.aspx?ID=5NUHHDQN7SK2-1-182457</Url>
      <Description>5NUHHDQN7SK2-1-182457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CB928EB7-74C4-4172-B78E-89F25E5B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4</Pages>
  <Words>944</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User</cp:lastModifiedBy>
  <cp:revision>4</cp:revision>
  <cp:lastPrinted>2008-01-31T16:09:00Z</cp:lastPrinted>
  <dcterms:created xsi:type="dcterms:W3CDTF">2017-09-28T22:34:00Z</dcterms:created>
  <dcterms:modified xsi:type="dcterms:W3CDTF">2017-09-28T23:11:00Z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1da98c74-d96b-4456-a953-9ba4c5eb2696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